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0002083544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7"/>
        <w:gridCol w:w="3688"/>
      </w:tblGrid>
      <w:tr>
        <w:trPr/>
        <w:tc>
          <w:tcPr>
            <w:tcW w:w="6517" w:type="dxa"/>
            <w:tcBorders/>
            <w:vAlign w:val="center"/>
          </w:tcPr>
          <w:p>
            <w:pPr>
              <w:pStyle w:val="TableContents"/>
              <w:bidi w:val="0"/>
              <w:spacing w:before="0" w:after="283"/>
              <w:jc w:val="left"/>
              <w:rPr/>
            </w:pPr>
            <w:r>
              <w:rPr/>
              <w:t>Name of Issuer</w:t>
            </w:r>
          </w:p>
        </w:tc>
        <w:tc>
          <w:tcPr>
            <w:tcW w:w="3688" w:type="dxa"/>
            <w:tcBorders/>
            <w:vAlign w:val="center"/>
          </w:tcPr>
          <w:p>
            <w:pPr>
              <w:pStyle w:val="TableContents"/>
              <w:bidi w:val="0"/>
              <w:spacing w:before="0" w:after="0"/>
              <w:jc w:val="left"/>
              <w:rPr/>
            </w:pPr>
            <w:r>
              <w:rPr/>
              <w:t>Black Rock Coffee Bar, Inc.</w:t>
            </w:r>
          </w:p>
        </w:tc>
      </w:tr>
      <w:tr>
        <w:trPr/>
        <w:tc>
          <w:tcPr>
            <w:tcW w:w="6517" w:type="dxa"/>
            <w:tcBorders/>
            <w:vAlign w:val="center"/>
          </w:tcPr>
          <w:p>
            <w:pPr>
              <w:pStyle w:val="TableContents"/>
              <w:bidi w:val="0"/>
              <w:spacing w:before="0" w:after="283"/>
              <w:jc w:val="left"/>
              <w:rPr/>
            </w:pPr>
            <w:r>
              <w:rPr/>
              <w:t>SEC File Number</w:t>
            </w:r>
          </w:p>
        </w:tc>
        <w:tc>
          <w:tcPr>
            <w:tcW w:w="3688" w:type="dxa"/>
            <w:tcBorders/>
            <w:vAlign w:val="center"/>
          </w:tcPr>
          <w:p>
            <w:pPr>
              <w:pStyle w:val="TableContents"/>
              <w:bidi w:val="0"/>
              <w:spacing w:before="0" w:after="0"/>
              <w:jc w:val="left"/>
              <w:rPr/>
            </w:pPr>
            <w:r>
              <w:rPr/>
              <w:t>001-42844</w:t>
            </w:r>
          </w:p>
        </w:tc>
      </w:tr>
      <w:tr>
        <w:trPr/>
        <w:tc>
          <w:tcPr>
            <w:tcW w:w="6517" w:type="dxa"/>
            <w:tcBorders/>
            <w:vAlign w:val="center"/>
          </w:tcPr>
          <w:p>
            <w:pPr>
              <w:pStyle w:val="TableContents"/>
              <w:bidi w:val="0"/>
              <w:spacing w:before="0" w:after="283"/>
              <w:jc w:val="left"/>
              <w:rPr/>
            </w:pPr>
            <w:r>
              <w:rPr/>
              <w:t>Address of Issuer</w:t>
            </w:r>
          </w:p>
        </w:tc>
        <w:tc>
          <w:tcPr>
            <w:tcW w:w="3688" w:type="dxa"/>
            <w:tcBorders/>
            <w:vAlign w:val="center"/>
          </w:tcPr>
          <w:p>
            <w:pPr>
              <w:pStyle w:val="TableContents"/>
              <w:bidi w:val="0"/>
              <w:spacing w:before="0" w:after="0"/>
              <w:jc w:val="left"/>
              <w:rPr/>
            </w:pPr>
            <w:r>
              <w:rPr/>
              <w:t>9170 E. Bahia Drive, Suite 101</w:t>
              <w:br/>
              <w:t>Scottsdale</w:t>
              <w:br/>
              <w:t xml:space="preserve">ARIZONA </w:t>
              <w:br/>
              <w:t>85260</w:t>
            </w:r>
          </w:p>
        </w:tc>
      </w:tr>
      <w:tr>
        <w:trPr/>
        <w:tc>
          <w:tcPr>
            <w:tcW w:w="6517" w:type="dxa"/>
            <w:tcBorders/>
            <w:vAlign w:val="center"/>
          </w:tcPr>
          <w:p>
            <w:pPr>
              <w:pStyle w:val="TableContents"/>
              <w:bidi w:val="0"/>
              <w:spacing w:before="0" w:after="283"/>
              <w:jc w:val="left"/>
              <w:rPr/>
            </w:pPr>
            <w:r>
              <w:rPr/>
              <w:t>Phone</w:t>
            </w:r>
          </w:p>
        </w:tc>
        <w:tc>
          <w:tcPr>
            <w:tcW w:w="3688" w:type="dxa"/>
            <w:tcBorders/>
            <w:vAlign w:val="center"/>
          </w:tcPr>
          <w:p>
            <w:pPr>
              <w:pStyle w:val="TableContents"/>
              <w:bidi w:val="0"/>
              <w:spacing w:before="0" w:after="0"/>
              <w:jc w:val="left"/>
              <w:rPr/>
            </w:pPr>
            <w:r>
              <w:rPr/>
              <w:t>458-256-9668</w:t>
            </w:r>
          </w:p>
        </w:tc>
      </w:tr>
      <w:tr>
        <w:trPr/>
        <w:tc>
          <w:tcPr>
            <w:tcW w:w="6517" w:type="dxa"/>
            <w:tcBorders/>
            <w:vAlign w:val="center"/>
          </w:tcPr>
          <w:p>
            <w:pPr>
              <w:pStyle w:val="TableContents"/>
              <w:bidi w:val="0"/>
              <w:spacing w:before="0" w:after="283"/>
              <w:jc w:val="left"/>
              <w:rPr/>
            </w:pPr>
            <w:r>
              <w:rPr/>
              <w:t>Name of Person for Whose Account the Securities are To Be Sold</w:t>
            </w:r>
          </w:p>
        </w:tc>
        <w:tc>
          <w:tcPr>
            <w:tcW w:w="3688" w:type="dxa"/>
            <w:tcBorders/>
            <w:vAlign w:val="center"/>
          </w:tcPr>
          <w:p>
            <w:pPr>
              <w:pStyle w:val="TableContents"/>
              <w:bidi w:val="0"/>
              <w:spacing w:before="0" w:after="0"/>
              <w:jc w:val="left"/>
              <w:rPr/>
            </w:pPr>
            <w:r>
              <w:rPr/>
              <w:t>Jeffrey Robert Hernandez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7" w:type="dxa"/>
            <w:tcBorders/>
            <w:vAlign w:val="center"/>
          </w:tcPr>
          <w:p>
            <w:pPr>
              <w:pStyle w:val="TableContents"/>
              <w:bidi w:val="0"/>
              <w:spacing w:before="0" w:after="283"/>
              <w:jc w:val="left"/>
              <w:rPr/>
            </w:pPr>
            <w:r>
              <w:rPr/>
              <w:t>Relationship to Issuer</w:t>
            </w:r>
          </w:p>
        </w:tc>
        <w:tc>
          <w:tcPr>
            <w:tcW w:w="368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116000</w:t>
            </w:r>
          </w:p>
        </w:tc>
        <w:tc>
          <w:tcPr>
            <w:tcW w:w="1385" w:type="dxa"/>
            <w:tcBorders/>
            <w:vAlign w:val="center"/>
          </w:tcPr>
          <w:p>
            <w:pPr>
              <w:pStyle w:val="TableContents"/>
              <w:bidi w:val="0"/>
              <w:spacing w:before="0" w:after="283"/>
              <w:jc w:val="left"/>
              <w:rPr/>
            </w:pPr>
            <w:r>
              <w:rPr/>
              <w:t>846800</w:t>
            </w:r>
          </w:p>
        </w:tc>
        <w:tc>
          <w:tcPr>
            <w:tcW w:w="1559" w:type="dxa"/>
            <w:tcBorders/>
            <w:vAlign w:val="center"/>
          </w:tcPr>
          <w:p>
            <w:pPr>
              <w:pStyle w:val="TableContents"/>
              <w:bidi w:val="0"/>
              <w:spacing w:before="0" w:after="283"/>
              <w:jc w:val="left"/>
              <w:rPr/>
            </w:pPr>
            <w:r>
              <w:rPr/>
              <w:t>21572893</w:t>
            </w:r>
          </w:p>
        </w:tc>
        <w:tc>
          <w:tcPr>
            <w:tcW w:w="1571" w:type="dxa"/>
            <w:tcBorders/>
            <w:vAlign w:val="center"/>
          </w:tcPr>
          <w:p>
            <w:pPr>
              <w:pStyle w:val="TableContents"/>
              <w:bidi w:val="0"/>
              <w:spacing w:before="0" w:after="283"/>
              <w:jc w:val="left"/>
              <w:rPr/>
            </w:pPr>
            <w:r>
              <w:rPr/>
              <w:t>08/11/2026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06/03/2026</w:t>
            </w:r>
          </w:p>
        </w:tc>
        <w:tc>
          <w:tcPr>
            <w:tcW w:w="1505" w:type="dxa"/>
            <w:tcBorders/>
            <w:vAlign w:val="center"/>
          </w:tcPr>
          <w:p>
            <w:pPr>
              <w:pStyle w:val="TableContents"/>
              <w:bidi w:val="0"/>
              <w:spacing w:before="0" w:after="283"/>
              <w:jc w:val="left"/>
              <w:rPr/>
            </w:pPr>
            <w:r>
              <w:rPr/>
              <w:t>Conversion of Common Units to Class A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116000</w:t>
            </w:r>
          </w:p>
        </w:tc>
        <w:tc>
          <w:tcPr>
            <w:tcW w:w="1078" w:type="dxa"/>
            <w:tcBorders/>
            <w:vAlign w:val="center"/>
          </w:tcPr>
          <w:p>
            <w:pPr>
              <w:pStyle w:val="TableContents"/>
              <w:bidi w:val="0"/>
              <w:spacing w:before="0" w:after="283"/>
              <w:jc w:val="left"/>
              <w:rPr/>
            </w:pPr>
            <w:r>
              <w:rPr/>
              <w:t>06/03/2026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229"/>
        <w:gridCol w:w="6976"/>
      </w:tblGrid>
      <w:tr>
        <w:trPr/>
        <w:tc>
          <w:tcPr>
            <w:tcW w:w="3229" w:type="dxa"/>
            <w:tcBorders/>
            <w:vAlign w:val="center"/>
          </w:tcPr>
          <w:p>
            <w:pPr>
              <w:pStyle w:val="TableContents"/>
              <w:bidi w:val="0"/>
              <w:spacing w:before="0" w:after="283"/>
              <w:jc w:val="left"/>
              <w:rPr/>
            </w:pPr>
            <w:r>
              <w:rPr/>
              <w:t>Remarks</w:t>
            </w:r>
          </w:p>
        </w:tc>
        <w:tc>
          <w:tcPr>
            <w:tcW w:w="6976" w:type="dxa"/>
            <w:tcBorders/>
            <w:vAlign w:val="center"/>
          </w:tcPr>
          <w:p>
            <w:pPr>
              <w:pStyle w:val="TableContents"/>
              <w:bidi w:val="0"/>
              <w:spacing w:before="0" w:after="0"/>
              <w:jc w:val="left"/>
              <w:rPr/>
            </w:pPr>
            <w:r>
              <w:rPr/>
              <w:t>The shares covered by this filing will be sold today or within three months from the date of this filing by the Jeffrey R. Hernandez 2021 Irrevocable Trust, Jeffrey Robert Hernandez as Trustee.</w:t>
            </w:r>
          </w:p>
        </w:tc>
      </w:tr>
      <w:tr>
        <w:trPr/>
        <w:tc>
          <w:tcPr>
            <w:tcW w:w="3229" w:type="dxa"/>
            <w:tcBorders/>
            <w:vAlign w:val="center"/>
          </w:tcPr>
          <w:p>
            <w:pPr>
              <w:pStyle w:val="TableContents"/>
              <w:bidi w:val="0"/>
              <w:spacing w:before="0" w:after="283"/>
              <w:jc w:val="left"/>
              <w:rPr/>
            </w:pPr>
            <w:r>
              <w:rPr/>
              <w:t>Date of Notice</w:t>
            </w:r>
          </w:p>
        </w:tc>
        <w:tc>
          <w:tcPr>
            <w:tcW w:w="6976" w:type="dxa"/>
            <w:tcBorders/>
            <w:vAlign w:val="center"/>
          </w:tcPr>
          <w:p>
            <w:pPr>
              <w:pStyle w:val="TableContents"/>
              <w:bidi w:val="0"/>
              <w:spacing w:before="0" w:after="0"/>
              <w:jc w:val="left"/>
              <w:rPr/>
            </w:pPr>
            <w:r>
              <w:rPr/>
              <w:t>08/11/2026</w:t>
            </w:r>
          </w:p>
        </w:tc>
      </w:tr>
      <w:tr>
        <w:trPr/>
        <w:tc>
          <w:tcPr>
            <w:tcW w:w="3229" w:type="dxa"/>
            <w:tcBorders/>
            <w:vAlign w:val="center"/>
          </w:tcPr>
          <w:p>
            <w:pPr>
              <w:pStyle w:val="TableContents"/>
              <w:bidi w:val="0"/>
              <w:spacing w:before="0" w:after="283"/>
              <w:jc w:val="left"/>
              <w:rPr/>
            </w:pPr>
            <w:r>
              <w:rPr/>
              <w:t>Date of Plan Adoption or Giving of Instruction, If Relying on Rule 10b5-1</w:t>
            </w:r>
          </w:p>
        </w:tc>
        <w:tc>
          <w:tcPr>
            <w:tcW w:w="697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229" w:type="dxa"/>
            <w:tcBorders/>
            <w:vAlign w:val="center"/>
          </w:tcPr>
          <w:p>
            <w:pPr>
              <w:pStyle w:val="TableContents"/>
              <w:bidi w:val="0"/>
              <w:spacing w:before="0" w:after="283"/>
              <w:jc w:val="left"/>
              <w:rPr/>
            </w:pPr>
            <w:r>
              <w:rPr/>
              <w:t>Signature</w:t>
            </w:r>
          </w:p>
        </w:tc>
        <w:tc>
          <w:tcPr>
            <w:tcW w:w="6976" w:type="dxa"/>
            <w:tcBorders/>
            <w:vAlign w:val="center"/>
          </w:tcPr>
          <w:p>
            <w:pPr>
              <w:pStyle w:val="TableContents"/>
              <w:bidi w:val="0"/>
              <w:spacing w:before="0" w:after="0"/>
              <w:jc w:val="left"/>
              <w:rPr/>
            </w:pPr>
            <w:r>
              <w:rPr/>
              <w:t>/s/ J.P. Morgan Securities LLC as agent and attorney-in-fact for Jeffrey Robert Hernandez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3229</Characters>
  <CharactersWithSpaces>3817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