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21"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4" w:lineRule="exact"/>
        <w:rPr>
          <w:sz w:val="24"/>
          <w:szCs w:val="24"/>
          <w:color w:val="auto"/>
        </w:rPr>
      </w:pPr>
    </w:p>
    <w:p>
      <w:pPr>
        <w:ind w:left="3660" w:right="1620" w:hanging="3634"/>
        <w:spacing w:after="0" w:line="484" w:lineRule="auto"/>
        <w:tabs>
          <w:tab w:leader="none" w:pos="423" w:val="left"/>
        </w:tabs>
        <w:numPr>
          <w:ilvl w:val="0"/>
          <w:numId w:val="1"/>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March 31, 2026</w:t>
      </w:r>
    </w:p>
    <w:p>
      <w:pPr>
        <w:spacing w:after="0" w:line="326" w:lineRule="exact"/>
        <w:rPr>
          <w:sz w:val="24"/>
          <w:szCs w:val="24"/>
          <w:color w:val="auto"/>
        </w:rPr>
      </w:pPr>
    </w:p>
    <w:p>
      <w:pPr>
        <w:ind w:left="420" w:hanging="394"/>
        <w:spacing w:after="0"/>
        <w:tabs>
          <w:tab w:leader="none" w:pos="420" w:val="left"/>
        </w:tabs>
        <w:numPr>
          <w:ilvl w:val="0"/>
          <w:numId w:val="2"/>
        </w:numPr>
        <w:rPr>
          <w:rFonts w:ascii="Wingdings" w:cs="Wingdings" w:eastAsia="Wingdings" w:hAnsi="Wingdings"/>
          <w:sz w:val="18"/>
          <w:szCs w:val="18"/>
          <w:b w:val="1"/>
          <w:bCs w:val="1"/>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 to ________</w:t>
      </w:r>
    </w:p>
    <w:p>
      <w:pPr>
        <w:spacing w:after="0" w:line="15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001-42844</w:t>
      </w:r>
    </w:p>
    <w:p>
      <w:pPr>
        <w:spacing w:after="0" w:line="11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Black Rock Coffee Bar, Inc.</w:t>
      </w:r>
    </w:p>
    <w:p>
      <w:pPr>
        <w:spacing w:after="0" w:line="4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9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71" w:lineRule="exact"/>
        <w:rPr>
          <w:sz w:val="24"/>
          <w:szCs w:val="24"/>
          <w:color w:val="auto"/>
        </w:rPr>
      </w:pPr>
    </w:p>
    <w:tbl>
      <w:tblPr>
        <w:tblLayout w:type="fixed"/>
        <w:tblInd w:w="400" w:type="dxa"/>
        <w:tblCellMar>
          <w:top w:w="0" w:type="dxa"/>
          <w:left w:w="0" w:type="dxa"/>
          <w:bottom w:w="0" w:type="dxa"/>
          <w:right w:w="0" w:type="dxa"/>
        </w:tblCellMar>
      </w:tblPr>
      <w:tr>
        <w:trPr>
          <w:trHeight w:val="247"/>
        </w:trPr>
        <w:tc>
          <w:tcPr>
            <w:tcW w:w="54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7"/>
              </w:rPr>
              <w:t>Texas</w:t>
            </w:r>
          </w:p>
        </w:tc>
        <w:tc>
          <w:tcPr>
            <w:tcW w:w="4360" w:type="dxa"/>
            <w:vAlign w:val="bottom"/>
          </w:tcPr>
          <w:p>
            <w:pPr>
              <w:jc w:val="right"/>
              <w:ind w:right="810"/>
              <w:spacing w:after="0"/>
              <w:rPr>
                <w:sz w:val="20"/>
                <w:szCs w:val="20"/>
                <w:color w:val="auto"/>
              </w:rPr>
            </w:pPr>
            <w:r>
              <w:rPr>
                <w:rFonts w:ascii="Arial" w:cs="Arial" w:eastAsia="Arial" w:hAnsi="Arial"/>
                <w:sz w:val="18"/>
                <w:szCs w:val="18"/>
                <w:b w:val="1"/>
                <w:bCs w:val="1"/>
                <w:color w:val="auto"/>
              </w:rPr>
              <w:t>33-5053729</w:t>
            </w:r>
          </w:p>
        </w:tc>
      </w:tr>
      <w:tr>
        <w:trPr>
          <w:trHeight w:val="239"/>
        </w:trPr>
        <w:tc>
          <w:tcPr>
            <w:tcW w:w="5480" w:type="dxa"/>
            <w:vAlign w:val="bottom"/>
          </w:tcPr>
          <w:p>
            <w:pPr>
              <w:jc w:val="center"/>
              <w:ind w:right="1490"/>
              <w:spacing w:after="0"/>
              <w:rPr>
                <w:sz w:val="20"/>
                <w:szCs w:val="20"/>
                <w:color w:val="auto"/>
              </w:rPr>
            </w:pPr>
            <w:r>
              <w:rPr>
                <w:rFonts w:ascii="Arial" w:cs="Arial" w:eastAsia="Arial" w:hAnsi="Arial"/>
                <w:sz w:val="18"/>
                <w:szCs w:val="18"/>
                <w:color w:val="auto"/>
              </w:rPr>
              <w:t>(State or other jurisdiction of</w:t>
            </w:r>
          </w:p>
        </w:tc>
        <w:tc>
          <w:tcPr>
            <w:tcW w:w="4360" w:type="dxa"/>
            <w:vAlign w:val="bottom"/>
          </w:tcPr>
          <w:p>
            <w:pPr>
              <w:jc w:val="center"/>
              <w:ind w:left="1510"/>
              <w:spacing w:after="0"/>
              <w:rPr>
                <w:sz w:val="20"/>
                <w:szCs w:val="20"/>
                <w:color w:val="auto"/>
              </w:rPr>
            </w:pPr>
            <w:r>
              <w:rPr>
                <w:rFonts w:ascii="Arial" w:cs="Arial" w:eastAsia="Arial" w:hAnsi="Arial"/>
                <w:sz w:val="18"/>
                <w:szCs w:val="18"/>
                <w:color w:val="auto"/>
                <w:w w:val="99"/>
              </w:rPr>
              <w:t>(I.R.S. Employer Identification No.)</w:t>
            </w:r>
          </w:p>
        </w:tc>
      </w:tr>
      <w:tr>
        <w:trPr>
          <w:trHeight w:val="239"/>
        </w:trPr>
        <w:tc>
          <w:tcPr>
            <w:tcW w:w="5480" w:type="dxa"/>
            <w:vAlign w:val="bottom"/>
          </w:tcPr>
          <w:p>
            <w:pPr>
              <w:jc w:val="center"/>
              <w:ind w:right="1490"/>
              <w:spacing w:after="0"/>
              <w:rPr>
                <w:sz w:val="20"/>
                <w:szCs w:val="20"/>
                <w:color w:val="auto"/>
              </w:rPr>
            </w:pPr>
            <w:r>
              <w:rPr>
                <w:rFonts w:ascii="Arial" w:cs="Arial" w:eastAsia="Arial" w:hAnsi="Arial"/>
                <w:sz w:val="18"/>
                <w:szCs w:val="18"/>
                <w:color w:val="auto"/>
                <w:w w:val="99"/>
              </w:rPr>
              <w:t>incorporation or organization)</w:t>
            </w:r>
          </w:p>
        </w:tc>
        <w:tc>
          <w:tcPr>
            <w:tcW w:w="4360" w:type="dxa"/>
            <w:vAlign w:val="bottom"/>
          </w:tcPr>
          <w:p>
            <w:pPr>
              <w:spacing w:after="0"/>
              <w:rPr>
                <w:sz w:val="20"/>
                <w:szCs w:val="20"/>
                <w:color w:val="auto"/>
              </w:rPr>
            </w:pPr>
          </w:p>
        </w:tc>
      </w:tr>
      <w:tr>
        <w:trPr>
          <w:trHeight w:val="332"/>
        </w:trPr>
        <w:tc>
          <w:tcPr>
            <w:tcW w:w="54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9"/>
              </w:rPr>
              <w:t>9170 E. Bahia Drive, Suite 101, Scottsdale, AZ</w:t>
            </w:r>
          </w:p>
        </w:tc>
        <w:tc>
          <w:tcPr>
            <w:tcW w:w="4360" w:type="dxa"/>
            <w:vAlign w:val="bottom"/>
          </w:tcPr>
          <w:p>
            <w:pPr>
              <w:jc w:val="right"/>
              <w:ind w:right="1030"/>
              <w:spacing w:after="0"/>
              <w:rPr>
                <w:sz w:val="20"/>
                <w:szCs w:val="20"/>
                <w:color w:val="auto"/>
              </w:rPr>
            </w:pPr>
            <w:r>
              <w:rPr>
                <w:rFonts w:ascii="Arial" w:cs="Arial" w:eastAsia="Arial" w:hAnsi="Arial"/>
                <w:sz w:val="18"/>
                <w:szCs w:val="18"/>
                <w:b w:val="1"/>
                <w:bCs w:val="1"/>
                <w:color w:val="auto"/>
              </w:rPr>
              <w:t>85260</w:t>
            </w:r>
          </w:p>
        </w:tc>
      </w:tr>
      <w:tr>
        <w:trPr>
          <w:trHeight w:val="262"/>
        </w:trPr>
        <w:tc>
          <w:tcPr>
            <w:tcW w:w="5480" w:type="dxa"/>
            <w:vAlign w:val="bottom"/>
          </w:tcPr>
          <w:p>
            <w:pPr>
              <w:jc w:val="center"/>
              <w:ind w:right="1490"/>
              <w:spacing w:after="0"/>
              <w:rPr>
                <w:sz w:val="20"/>
                <w:szCs w:val="20"/>
                <w:color w:val="auto"/>
              </w:rPr>
            </w:pPr>
            <w:r>
              <w:rPr>
                <w:rFonts w:ascii="Arial" w:cs="Arial" w:eastAsia="Arial" w:hAnsi="Arial"/>
                <w:sz w:val="18"/>
                <w:szCs w:val="18"/>
                <w:color w:val="auto"/>
                <w:w w:val="99"/>
              </w:rPr>
              <w:t>(Address of Principal Executive Offices)</w:t>
            </w:r>
          </w:p>
        </w:tc>
        <w:tc>
          <w:tcPr>
            <w:tcW w:w="4360" w:type="dxa"/>
            <w:vAlign w:val="bottom"/>
          </w:tcPr>
          <w:p>
            <w:pPr>
              <w:jc w:val="center"/>
              <w:ind w:left="1510"/>
              <w:spacing w:after="0"/>
              <w:rPr>
                <w:sz w:val="20"/>
                <w:szCs w:val="20"/>
                <w:color w:val="auto"/>
              </w:rPr>
            </w:pPr>
            <w:r>
              <w:rPr>
                <w:rFonts w:ascii="Arial" w:cs="Arial" w:eastAsia="Arial" w:hAnsi="Arial"/>
                <w:sz w:val="18"/>
                <w:szCs w:val="18"/>
                <w:color w:val="auto"/>
                <w:w w:val="98"/>
              </w:rPr>
              <w:t>(Zip Code)</w:t>
            </w:r>
          </w:p>
        </w:tc>
      </w:tr>
    </w:tbl>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(458) 256-9668</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236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2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60"/>
        </w:trPr>
        <w:tc>
          <w:tcPr>
            <w:tcW w:w="45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Title of each class</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3"/>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r>
        <w:trPr>
          <w:trHeight w:val="240"/>
        </w:trPr>
        <w:tc>
          <w:tcPr>
            <w:tcW w:w="45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Class A common stock, par value $0.00001 per share</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BRCB</w:t>
            </w:r>
          </w:p>
        </w:tc>
        <w:tc>
          <w:tcPr>
            <w:tcW w:w="4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 LLC</w:t>
            </w:r>
          </w:p>
        </w:tc>
      </w:tr>
      <w:tr>
        <w:trPr>
          <w:trHeight w:val="23"/>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4500" w:type="dxa"/>
            <w:vAlign w:val="bottom"/>
            <w:tcBorders>
              <w:bottom w:val="single" w:sz="8" w:color="auto"/>
              <w:right w:val="single" w:sz="8" w:color="auto"/>
            </w:tcBorders>
          </w:tcPr>
          <w:p>
            <w:pPr>
              <w:spacing w:after="0"/>
              <w:rPr>
                <w:sz w:val="2"/>
                <w:szCs w:val="2"/>
                <w:color w:val="auto"/>
              </w:rPr>
            </w:pPr>
          </w:p>
        </w:tc>
      </w:tr>
    </w:tbl>
    <w:p>
      <w:pPr>
        <w:spacing w:after="0" w:line="143" w:lineRule="exact"/>
        <w:rPr>
          <w:sz w:val="24"/>
          <w:szCs w:val="24"/>
          <w:color w:val="auto"/>
        </w:rPr>
      </w:pPr>
    </w:p>
    <w:p>
      <w:pPr>
        <w:ind w:right="8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17" w:lineRule="exact"/>
        <w:rPr>
          <w:sz w:val="24"/>
          <w:szCs w:val="24"/>
          <w:color w:val="auto"/>
        </w:rPr>
      </w:pPr>
    </w:p>
    <w:p>
      <w:pPr>
        <w:ind w:left="10220"/>
        <w:spacing w:after="0"/>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x</w:t>
      </w:r>
      <w:r>
        <w:rPr>
          <w:rFonts w:ascii="Arial" w:cs="Arial" w:eastAsia="Arial" w:hAnsi="Arial"/>
          <w:sz w:val="17"/>
          <w:szCs w:val="17"/>
          <w:color w:val="auto"/>
        </w:rPr>
        <w:t xml:space="preserve"> No </w:t>
      </w:r>
      <w:r>
        <w:rPr>
          <w:rFonts w:ascii="Wingdings" w:cs="Wingdings" w:eastAsia="Wingdings" w:hAnsi="Wingdings"/>
          <w:sz w:val="17"/>
          <w:szCs w:val="17"/>
          <w:b w:val="1"/>
          <w:bCs w:val="1"/>
          <w:color w:val="auto"/>
        </w:rPr>
        <w:t>o</w:t>
      </w:r>
    </w:p>
    <w:p>
      <w:pPr>
        <w:spacing w:after="0" w:line="183"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17" w:lineRule="exact"/>
        <w:rPr>
          <w:sz w:val="24"/>
          <w:szCs w:val="24"/>
          <w:color w:val="auto"/>
        </w:rPr>
      </w:pPr>
    </w:p>
    <w:p>
      <w:pPr>
        <w:ind w:left="10220"/>
        <w:spacing w:after="0"/>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x</w:t>
      </w:r>
      <w:r>
        <w:rPr>
          <w:rFonts w:ascii="Arial" w:cs="Arial" w:eastAsia="Arial" w:hAnsi="Arial"/>
          <w:sz w:val="17"/>
          <w:szCs w:val="17"/>
          <w:color w:val="auto"/>
        </w:rPr>
        <w:t xml:space="preserve"> No </w:t>
      </w:r>
      <w:r>
        <w:rPr>
          <w:rFonts w:ascii="Wingdings" w:cs="Wingdings" w:eastAsia="Wingdings" w:hAnsi="Wingdings"/>
          <w:sz w:val="17"/>
          <w:szCs w:val="17"/>
          <w:b w:val="1"/>
          <w:bCs w:val="1"/>
          <w:color w:val="auto"/>
        </w:rPr>
        <w:t>o</w:t>
      </w:r>
    </w:p>
    <w:p>
      <w:pPr>
        <w:spacing w:after="0" w:line="183"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20" w:type="dxa"/>
        <w:tblCellMar>
          <w:top w:w="0" w:type="dxa"/>
          <w:left w:w="0" w:type="dxa"/>
          <w:bottom w:w="0" w:type="dxa"/>
          <w:right w:w="0" w:type="dxa"/>
        </w:tblCellMar>
      </w:tblPr>
      <w:tr>
        <w:trPr>
          <w:trHeight w:val="239"/>
        </w:trPr>
        <w:tc>
          <w:tcPr>
            <w:tcW w:w="24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640"/>
              <w:spacing w:after="0"/>
              <w:rPr>
                <w:sz w:val="20"/>
                <w:szCs w:val="20"/>
                <w:color w:val="auto"/>
              </w:rPr>
            </w:pPr>
            <w:r>
              <w:rPr>
                <w:rFonts w:ascii="Wingdings" w:cs="Wingdings" w:eastAsia="Wingdings" w:hAnsi="Wingdings"/>
                <w:sz w:val="18"/>
                <w:szCs w:val="18"/>
                <w:b w:val="1"/>
                <w:bCs w:val="1"/>
                <w:color w:val="auto"/>
              </w:rPr>
              <w:t>o</w:t>
            </w:r>
          </w:p>
        </w:tc>
        <w:tc>
          <w:tcPr>
            <w:tcW w:w="4740" w:type="dxa"/>
            <w:vAlign w:val="bottom"/>
          </w:tcPr>
          <w:p>
            <w:pPr>
              <w:ind w:left="21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4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740" w:type="dxa"/>
            <w:vAlign w:val="bottom"/>
          </w:tcPr>
          <w:p>
            <w:pPr>
              <w:ind w:left="21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rPr>
              <w:t>o</w:t>
            </w:r>
          </w:p>
        </w:tc>
      </w:tr>
      <w:tr>
        <w:trPr>
          <w:trHeight w:val="324"/>
        </w:trPr>
        <w:tc>
          <w:tcPr>
            <w:tcW w:w="2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740" w:type="dxa"/>
            <w:vAlign w:val="bottom"/>
          </w:tcPr>
          <w:p>
            <w:pPr>
              <w:ind w:left="21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40"/>
              <w:spacing w:after="0"/>
              <w:rPr>
                <w:sz w:val="20"/>
                <w:szCs w:val="20"/>
                <w:color w:val="auto"/>
              </w:rPr>
            </w:pPr>
            <w:r>
              <w:rPr>
                <w:rFonts w:ascii="Wingdings" w:cs="Wingdings" w:eastAsia="Wingdings" w:hAnsi="Wingdings"/>
                <w:sz w:val="18"/>
                <w:szCs w:val="18"/>
                <w:b w:val="1"/>
                <w:bCs w:val="1"/>
                <w:color w:val="auto"/>
                <w:w w:val="94"/>
              </w:rPr>
              <w:t>x</w:t>
            </w:r>
          </w:p>
        </w:tc>
      </w:tr>
    </w:tbl>
    <w:p>
      <w:pPr>
        <w:spacing w:after="0" w:line="166" w:lineRule="exact"/>
        <w:rPr>
          <w:sz w:val="24"/>
          <w:szCs w:val="24"/>
          <w:color w:val="auto"/>
        </w:rPr>
      </w:pPr>
    </w:p>
    <w:p>
      <w:pPr>
        <w:ind w:right="220"/>
        <w:spacing w:after="0" w:line="28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6" w:lineRule="exact"/>
        <w:rPr>
          <w:sz w:val="24"/>
          <w:szCs w:val="24"/>
          <w:color w:val="auto"/>
        </w:rPr>
      </w:pPr>
    </w:p>
    <w:p>
      <w:pPr>
        <w:jc w:val="right"/>
        <w:ind w:right="20"/>
        <w:spacing w:after="0"/>
        <w:rPr>
          <w:sz w:val="20"/>
          <w:szCs w:val="20"/>
          <w:color w:val="auto"/>
        </w:rPr>
      </w:pPr>
      <w:r>
        <w:rPr>
          <w:rFonts w:ascii="Wingdings" w:cs="Wingdings" w:eastAsia="Wingdings" w:hAnsi="Wingdings"/>
          <w:sz w:val="18"/>
          <w:szCs w:val="18"/>
          <w:b w:val="1"/>
          <w:bCs w:val="1"/>
          <w:color w:val="auto"/>
        </w:rPr>
        <w:t>o</w:t>
      </w:r>
    </w:p>
    <w:p>
      <w:pPr>
        <w:sectPr>
          <w:pgSz w:w="11900" w:h="16838" w:orient="portrait"/>
          <w:cols w:equalWidth="0" w:num="1">
            <w:col w:w="11260"/>
          </w:cols>
          <w:pgMar w:left="320" w:top="229" w:right="31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color w:val="auto"/>
        </w:rPr>
        <w:t>As of May 11, 2026, the number of outstanding shares of each class of the registrant's common stock was as follows:</w:t>
      </w:r>
    </w:p>
    <w:p>
      <w:pPr>
        <w:spacing w:after="0" w:line="18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Class A common stock 21,572,893</w:t>
      </w:r>
    </w:p>
    <w:p>
      <w:pPr>
        <w:spacing w:after="0" w:line="158"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Class B common stock 10,377,136</w:t>
      </w:r>
    </w:p>
    <w:p>
      <w:pPr>
        <w:spacing w:after="0" w:line="144"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Class C common stock 18,105,778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Yes </w:t>
      </w:r>
      <w:r>
        <w:rPr>
          <w:rFonts w:ascii="Wingdings" w:cs="Wingdings" w:eastAsia="Wingdings" w:hAnsi="Wingdings"/>
          <w:sz w:val="17"/>
          <w:szCs w:val="17"/>
          <w:b w:val="1"/>
          <w:bCs w:val="1"/>
          <w:color w:val="auto"/>
        </w:rPr>
        <w:t>o</w:t>
      </w:r>
      <w:r>
        <w:rPr>
          <w:rFonts w:ascii="Arial" w:cs="Arial" w:eastAsia="Arial" w:hAnsi="Arial"/>
          <w:sz w:val="17"/>
          <w:szCs w:val="17"/>
          <w:color w:val="auto"/>
        </w:rPr>
        <w:t xml:space="preserve"> No </w:t>
      </w:r>
      <w:r>
        <w:rPr>
          <w:rFonts w:ascii="Wingdings" w:cs="Wingdings" w:eastAsia="Wingdings" w:hAnsi="Wingdings"/>
          <w:sz w:val="17"/>
          <w:szCs w:val="17"/>
          <w:b w:val="1"/>
          <w:bCs w:val="1"/>
          <w:color w:val="auto"/>
        </w:rPr>
        <w:t>x</w:t>
      </w:r>
    </w:p>
    <w:p>
      <w:pPr>
        <w:sectPr>
          <w:pgSz w:w="11900" w:h="16838" w:orient="portrait"/>
          <w:cols w:equalWidth="0" w:num="2">
            <w:col w:w="9500" w:space="720"/>
            <w:col w:w="102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55"/>
        </w:trPr>
        <w:tc>
          <w:tcPr>
            <w:tcW w:w="10400" w:type="dxa"/>
            <w:vAlign w:val="bottom"/>
          </w:tcPr>
          <w:p>
            <w:pPr>
              <w:spacing w:after="0"/>
              <w:rPr>
                <w:sz w:val="22"/>
                <w:szCs w:val="22"/>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450"/>
        </w:trPr>
        <w:tc>
          <w:tcPr>
            <w:tcW w:w="10400" w:type="dxa"/>
            <w:vAlign w:val="bottom"/>
          </w:tcPr>
          <w:p>
            <w:pPr>
              <w:spacing w:after="0"/>
              <w:rPr>
                <w:sz w:val="20"/>
                <w:szCs w:val="20"/>
                <w:color w:val="auto"/>
              </w:rPr>
            </w:pPr>
            <w:r>
              <w:rPr>
                <w:rFonts w:ascii="Arial" w:cs="Arial" w:eastAsia="Arial" w:hAnsi="Arial"/>
                <w:sz w:val="18"/>
                <w:szCs w:val="18"/>
                <w:color w:val="auto"/>
              </w:rPr>
              <w:t>Part I - Financial Information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1. Financial Statements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70"/>
        </w:trPr>
        <w:tc>
          <w:tcPr>
            <w:tcW w:w="10400" w:type="dxa"/>
            <w:vAlign w:val="bottom"/>
          </w:tcPr>
          <w:p>
            <w:pPr>
              <w:ind w:left="760"/>
              <w:spacing w:after="0"/>
              <w:rPr>
                <w:sz w:val="20"/>
                <w:szCs w:val="20"/>
                <w:color w:val="auto"/>
              </w:rPr>
            </w:pPr>
            <w:r>
              <w:rPr>
                <w:rFonts w:ascii="Arial" w:cs="Arial" w:eastAsia="Arial" w:hAnsi="Arial"/>
                <w:sz w:val="18"/>
                <w:szCs w:val="18"/>
                <w:color w:val="auto"/>
              </w:rPr>
              <w:t>Unaudited Condensed Consolidated Balance Sheets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70"/>
        </w:trPr>
        <w:tc>
          <w:tcPr>
            <w:tcW w:w="10400" w:type="dxa"/>
            <w:vAlign w:val="bottom"/>
          </w:tcPr>
          <w:p>
            <w:pPr>
              <w:ind w:left="760"/>
              <w:spacing w:after="0"/>
              <w:rPr>
                <w:sz w:val="20"/>
                <w:szCs w:val="20"/>
                <w:color w:val="auto"/>
              </w:rPr>
            </w:pPr>
            <w:r>
              <w:rPr>
                <w:rFonts w:ascii="Arial" w:cs="Arial" w:eastAsia="Arial" w:hAnsi="Arial"/>
                <w:sz w:val="18"/>
                <w:szCs w:val="18"/>
                <w:color w:val="auto"/>
              </w:rPr>
              <w:t>Unaudited Condensed Consolidated Statements of Operations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47"/>
        </w:trPr>
        <w:tc>
          <w:tcPr>
            <w:tcW w:w="10400" w:type="dxa"/>
            <w:vAlign w:val="bottom"/>
          </w:tcPr>
          <w:p>
            <w:pPr>
              <w:ind w:left="760"/>
              <w:spacing w:after="0"/>
              <w:rPr>
                <w:sz w:val="20"/>
                <w:szCs w:val="20"/>
                <w:color w:val="auto"/>
              </w:rPr>
            </w:pPr>
            <w:r>
              <w:rPr>
                <w:rFonts w:ascii="Arial" w:cs="Arial" w:eastAsia="Arial" w:hAnsi="Arial"/>
                <w:sz w:val="18"/>
                <w:szCs w:val="18"/>
                <w:color w:val="auto"/>
              </w:rPr>
              <w:t>Unaudited Condensed Consolidated Statements of Changes in Temporary Equity, Members’ Deficit and Shareholders'</w:t>
            </w:r>
          </w:p>
        </w:tc>
        <w:tc>
          <w:tcPr>
            <w:tcW w:w="820" w:type="dxa"/>
            <w:vAlign w:val="bottom"/>
          </w:tcPr>
          <w:p>
            <w:pPr>
              <w:spacing w:after="0"/>
              <w:rPr>
                <w:sz w:val="21"/>
                <w:szCs w:val="21"/>
                <w:color w:val="auto"/>
              </w:rPr>
            </w:pPr>
          </w:p>
        </w:tc>
      </w:tr>
      <w:tr>
        <w:trPr>
          <w:trHeight w:val="239"/>
        </w:trPr>
        <w:tc>
          <w:tcPr>
            <w:tcW w:w="10400" w:type="dxa"/>
            <w:vAlign w:val="bottom"/>
          </w:tcPr>
          <w:p>
            <w:pPr>
              <w:ind w:left="760"/>
              <w:spacing w:after="0"/>
              <w:rPr>
                <w:sz w:val="20"/>
                <w:szCs w:val="20"/>
                <w:color w:val="auto"/>
              </w:rPr>
            </w:pPr>
            <w:r>
              <w:rPr>
                <w:rFonts w:ascii="Arial" w:cs="Arial" w:eastAsia="Arial" w:hAnsi="Arial"/>
                <w:sz w:val="18"/>
                <w:szCs w:val="18"/>
                <w:color w:val="auto"/>
              </w:rPr>
              <w:t>Equity</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70"/>
        </w:trPr>
        <w:tc>
          <w:tcPr>
            <w:tcW w:w="10400" w:type="dxa"/>
            <w:vAlign w:val="bottom"/>
          </w:tcPr>
          <w:p>
            <w:pPr>
              <w:ind w:left="760"/>
              <w:spacing w:after="0"/>
              <w:rPr>
                <w:sz w:val="20"/>
                <w:szCs w:val="20"/>
                <w:color w:val="auto"/>
              </w:rPr>
            </w:pPr>
            <w:r>
              <w:rPr>
                <w:rFonts w:ascii="Arial" w:cs="Arial" w:eastAsia="Arial" w:hAnsi="Arial"/>
                <w:sz w:val="18"/>
                <w:szCs w:val="18"/>
                <w:color w:val="auto"/>
              </w:rPr>
              <w:t>Unaudited Condensed Consolidated Statements of Cash Flows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w:t>
            </w:r>
          </w:p>
        </w:tc>
      </w:tr>
      <w:tr>
        <w:trPr>
          <w:trHeight w:val="270"/>
        </w:trPr>
        <w:tc>
          <w:tcPr>
            <w:tcW w:w="10400" w:type="dxa"/>
            <w:vAlign w:val="bottom"/>
          </w:tcPr>
          <w:p>
            <w:pPr>
              <w:ind w:left="760"/>
              <w:spacing w:after="0"/>
              <w:rPr>
                <w:sz w:val="20"/>
                <w:szCs w:val="20"/>
                <w:color w:val="auto"/>
              </w:rPr>
            </w:pPr>
            <w:r>
              <w:rPr>
                <w:rFonts w:ascii="Arial" w:cs="Arial" w:eastAsia="Arial" w:hAnsi="Arial"/>
                <w:sz w:val="18"/>
                <w:szCs w:val="18"/>
                <w:color w:val="auto"/>
              </w:rPr>
              <w:t>Notes to the Unaudited Condensed Consolidated Financial Statements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19</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3. Quantitative and Qualitative Disclosures About Market Risk</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31</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4. Controls and Procedures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31</w:t>
            </w:r>
          </w:p>
        </w:tc>
      </w:tr>
      <w:tr>
        <w:trPr>
          <w:trHeight w:val="486"/>
        </w:trPr>
        <w:tc>
          <w:tcPr>
            <w:tcW w:w="10400" w:type="dxa"/>
            <w:vAlign w:val="bottom"/>
          </w:tcPr>
          <w:p>
            <w:pPr>
              <w:spacing w:after="0"/>
              <w:rPr>
                <w:sz w:val="20"/>
                <w:szCs w:val="20"/>
                <w:color w:val="auto"/>
              </w:rPr>
            </w:pPr>
            <w:r>
              <w:rPr>
                <w:rFonts w:ascii="Arial" w:cs="Arial" w:eastAsia="Arial" w:hAnsi="Arial"/>
                <w:sz w:val="18"/>
                <w:szCs w:val="18"/>
                <w:color w:val="auto"/>
              </w:rPr>
              <w:t>Part II - Other Information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32</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1. Legal Proceedings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32</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1A. Risk Factors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32</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2. Unregistered Sales of Equity Securities and Use of Proceeds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32</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3. Defaults Upon Senior Securities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32</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4. Mine Safety Disclosures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32</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5. Other Information</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32</w:t>
            </w:r>
          </w:p>
        </w:tc>
      </w:tr>
      <w:tr>
        <w:trPr>
          <w:trHeight w:val="270"/>
        </w:trPr>
        <w:tc>
          <w:tcPr>
            <w:tcW w:w="10400" w:type="dxa"/>
            <w:vAlign w:val="bottom"/>
          </w:tcPr>
          <w:p>
            <w:pPr>
              <w:ind w:left="660"/>
              <w:spacing w:after="0"/>
              <w:rPr>
                <w:sz w:val="20"/>
                <w:szCs w:val="20"/>
                <w:color w:val="auto"/>
              </w:rPr>
            </w:pPr>
            <w:r>
              <w:rPr>
                <w:rFonts w:ascii="Arial" w:cs="Arial" w:eastAsia="Arial" w:hAnsi="Arial"/>
                <w:sz w:val="18"/>
                <w:szCs w:val="18"/>
                <w:color w:val="auto"/>
              </w:rPr>
              <w:t>Item 6. Exhibits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33</w:t>
            </w:r>
          </w:p>
        </w:tc>
      </w:tr>
      <w:tr>
        <w:trPr>
          <w:trHeight w:val="270"/>
        </w:trPr>
        <w:tc>
          <w:tcPr>
            <w:tcW w:w="10400" w:type="dxa"/>
            <w:vAlign w:val="bottom"/>
          </w:tcPr>
          <w:p>
            <w:pPr>
              <w:spacing w:after="0"/>
              <w:rPr>
                <w:sz w:val="20"/>
                <w:szCs w:val="20"/>
                <w:color w:val="auto"/>
              </w:rPr>
            </w:pPr>
            <w:r>
              <w:rPr>
                <w:rFonts w:ascii="Arial" w:cs="Arial" w:eastAsia="Arial" w:hAnsi="Arial"/>
                <w:sz w:val="18"/>
                <w:szCs w:val="18"/>
                <w:color w:val="auto"/>
              </w:rPr>
              <w:t>Signatures</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35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Quarterly Report on Form 10-Q ("Form 10-Q") contains forward-looking statements within the meaning of the Private Securities Litigation Reform Act of 1995. All statements other than statements of historical facts contained in this Quarterly Report on Form 10-Q, including statements regarding our strategy, future financial condition, future operations, projected costs, prospects, plans, objectives of management, expected market conditions and growth, expected capital resources and expenditures, and liquidity, are forward-looking statements. We caution you that the foregoing list does not contain all of the forward-looking statements made in this Quarterly Report on Form 10-Q.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These forward-looking statements are subject to a number of risks, uncertainties, and assumptions. Important factors beyond our control could cause our actual results, financial condition, performance or achievements to be materially different from the expected results, performance or achievements expressed or implied by such forward-looking statements. Such factors include, but are not limited to, the following:</w:t>
      </w:r>
    </w:p>
    <w:p>
      <w:pPr>
        <w:spacing w:after="0" w:line="13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successfully identify and secure appropriate sites and timely develop and expand our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protect our brand and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secure, protect, and enforce our intellectual property 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suppliers and two roasting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information technology systems and services;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vendors’ vulnerability to security breaches, including breaches that may impact confidential customer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operating and financial performance;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tastes and nutritional and dietary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the continued growth of our workforce and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inability to open profitable stores;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generate projected same store sales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long-term non-cancelable leases;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 with our employees and the status of our workers;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seasonal trends on our results of operations;</w:t>
      </w:r>
    </w:p>
    <w:p>
      <w:pPr>
        <w:spacing w:after="0" w:line="117" w:lineRule="exact"/>
        <w:rPr>
          <w:rFonts w:ascii="Arial" w:cs="Arial" w:eastAsia="Arial" w:hAnsi="Arial"/>
          <w:sz w:val="18"/>
          <w:szCs w:val="18"/>
          <w:color w:val="auto"/>
        </w:rPr>
      </w:pPr>
    </w:p>
    <w:p>
      <w:pPr>
        <w:ind w:left="660" w:right="7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vulnerability to global financial market conditions, including inflation and other macroeconomic factors; including, without limitation, due to the ongoing conflict in the Middle East;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retain, and motivate skilled personnel, including key members of our senior management;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vulnerability to adverse weather conditions in local or regional areas where our stores are located;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realization of any benefit from the Tax Receivable Agreements and our organizational structure;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set forth in Part II, Item 1A “Risk Factors”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above, in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herein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GLOSSARY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Quarterly Report on Form 10-Q, unless the context otherwise requires, references to:</w:t>
      </w:r>
    </w:p>
    <w:p>
      <w:pPr>
        <w:spacing w:after="0" w:line="171" w:lineRule="exact"/>
        <w:rPr>
          <w:sz w:val="20"/>
          <w:szCs w:val="20"/>
          <w:color w:val="auto"/>
        </w:rPr>
      </w:pPr>
    </w:p>
    <w:p>
      <w:pPr>
        <w:ind w:left="980" w:right="20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Unit Volume” or “AUV” represents the total trailing twelve-month store revenue of operating stores in the comparable store base, divided by the number of stores in the comparable store base.</w:t>
      </w:r>
    </w:p>
    <w:p>
      <w:pPr>
        <w:spacing w:after="0" w:line="98" w:lineRule="exact"/>
        <w:rPr>
          <w:rFonts w:ascii="Arial" w:cs="Arial" w:eastAsia="Arial" w:hAnsi="Arial"/>
          <w:sz w:val="18"/>
          <w:szCs w:val="18"/>
          <w:color w:val="auto"/>
        </w:rPr>
      </w:pPr>
    </w:p>
    <w:p>
      <w:pPr>
        <w:ind w:left="980" w:right="360" w:hanging="324"/>
        <w:spacing w:after="0" w:line="268"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“Basis Adjustments” means increases in Black Rock Coffee Bar, Inc.’s allocable share of the tax basis in Black Rock OpCo’s assets resulting from (a) any redemptions or exchanges of LLC Units from the TRA Parties and (b) certain distributions (or deemed distributions) by Black Rock OpCo.</w:t>
      </w:r>
    </w:p>
    <w:p>
      <w:pPr>
        <w:spacing w:after="0" w:line="116" w:lineRule="exact"/>
        <w:rPr>
          <w:rFonts w:ascii="Arial" w:cs="Arial" w:eastAsia="Arial" w:hAnsi="Arial"/>
          <w:sz w:val="18"/>
          <w:szCs w:val="18"/>
          <w:color w:val="auto"/>
        </w:rPr>
      </w:pPr>
    </w:p>
    <w:p>
      <w:pPr>
        <w:ind w:left="980" w:hanging="324"/>
        <w:spacing w:after="0" w:line="318" w:lineRule="auto"/>
        <w:tabs>
          <w:tab w:leader="none" w:pos="975" w:val="left"/>
        </w:tabs>
        <w:numPr>
          <w:ilvl w:val="0"/>
          <w:numId w:val="4"/>
        </w:numPr>
        <w:rPr>
          <w:rFonts w:ascii="Arial" w:cs="Arial" w:eastAsia="Arial" w:hAnsi="Arial"/>
          <w:sz w:val="17"/>
          <w:szCs w:val="17"/>
          <w:color w:val="auto"/>
        </w:rPr>
      </w:pPr>
      <w:r>
        <w:rPr>
          <w:rFonts w:ascii="Arial" w:cs="Arial" w:eastAsia="Arial" w:hAnsi="Arial"/>
          <w:sz w:val="17"/>
          <w:szCs w:val="17"/>
          <w:color w:val="auto"/>
        </w:rPr>
        <w:t>“Black Rock,” the “Company,” “our company,” “we,” “us” and “our” means (i) prior to the consummation of the Transactions, Black Rock OpCo and its subsidiaries and (ii) after the Transactions, Black Rock Coffee Bar, Inc. and its consolidated subsidiaries.</w:t>
      </w:r>
    </w:p>
    <w:p>
      <w:pPr>
        <w:spacing w:after="0" w:line="75" w:lineRule="exact"/>
        <w:rPr>
          <w:rFonts w:ascii="Arial" w:cs="Arial" w:eastAsia="Arial" w:hAnsi="Arial"/>
          <w:sz w:val="17"/>
          <w:szCs w:val="17"/>
          <w:color w:val="auto"/>
        </w:rPr>
      </w:pPr>
    </w:p>
    <w:p>
      <w:pPr>
        <w:ind w:left="980" w:right="98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“Black Rock OpCo” means Black Rock Coffee Holdings, LLC, a Delaware limited liability company and, following the Transactions, a subsidiary of Black Rock Coffee Bar, Inc.</w:t>
      </w:r>
    </w:p>
    <w:p>
      <w:pPr>
        <w:spacing w:after="0" w:line="98" w:lineRule="exact"/>
        <w:rPr>
          <w:rFonts w:ascii="Arial" w:cs="Arial" w:eastAsia="Arial" w:hAnsi="Arial"/>
          <w:sz w:val="18"/>
          <w:szCs w:val="18"/>
          <w:color w:val="auto"/>
        </w:rPr>
      </w:pPr>
    </w:p>
    <w:p>
      <w:pPr>
        <w:ind w:left="980" w:right="12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“Black Rock OpCo LLC Agreement” means the Seventh Amended and Restated Limited Liability Company Agreement of Black Rock OpCo.</w:t>
      </w:r>
    </w:p>
    <w:p>
      <w:pPr>
        <w:spacing w:after="0" w:line="98" w:lineRule="exact"/>
        <w:rPr>
          <w:rFonts w:ascii="Arial" w:cs="Arial" w:eastAsia="Arial" w:hAnsi="Arial"/>
          <w:sz w:val="18"/>
          <w:szCs w:val="18"/>
          <w:color w:val="auto"/>
        </w:rPr>
      </w:pPr>
    </w:p>
    <w:p>
      <w:pPr>
        <w:ind w:left="980" w:right="18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“Blocker Companies” refers to certain entities that were owners of LLC Units in Black Rock OpCo prior to the Transactions that are taxable as corporations for U.S. federal income tax purposes.</w:t>
      </w:r>
    </w:p>
    <w:p>
      <w:pPr>
        <w:spacing w:after="0" w:line="9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A common stock” means Class A common stock, par value $0.00001 per share, of Black Rock Coffee Bar, Inc.</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B common stock” means Class B common stock, par value $0.00001 per share, of Black Rock Coffee Bar, Inc.</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C common stock” means Class C common stock, par value $0.00001 per share, of Black Rock Coffee Bar, Inc.</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“Co-Founders” means, collectively, Daniel Brand, Jeff Hernandez, Jake Spellmeyer and Bryan Pereboom.</w:t>
      </w:r>
    </w:p>
    <w:p>
      <w:pPr>
        <w:spacing w:after="0" w:line="171" w:lineRule="exact"/>
        <w:rPr>
          <w:rFonts w:ascii="Arial" w:cs="Arial" w:eastAsia="Arial" w:hAnsi="Arial"/>
          <w:sz w:val="18"/>
          <w:szCs w:val="18"/>
          <w:color w:val="auto"/>
        </w:rPr>
      </w:pPr>
    </w:p>
    <w:p>
      <w:pPr>
        <w:ind w:left="980" w:right="52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"Co-Founder Contribution" means the purchase, in connection with our IPO, by an entity affiliated with our Co-Founders of 3,118,938 LLC Units (and corresponding shares of Class C common stock) from Black Rock OpCo.</w:t>
      </w:r>
    </w:p>
    <w:p>
      <w:pPr>
        <w:spacing w:after="0" w:line="98" w:lineRule="exact"/>
        <w:rPr>
          <w:rFonts w:ascii="Arial" w:cs="Arial" w:eastAsia="Arial" w:hAnsi="Arial"/>
          <w:sz w:val="18"/>
          <w:szCs w:val="18"/>
          <w:color w:val="auto"/>
        </w:rPr>
      </w:pPr>
    </w:p>
    <w:p>
      <w:pPr>
        <w:ind w:left="980" w:right="20" w:hanging="324"/>
        <w:spacing w:after="0" w:line="255"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Equity Owners” means, collectively, the owners of LLC Units in Black Rock OpCo immediately prior to the consummation of the Transactions (excluding the Blocker Companies), which became holders of LLC Units and our Class B common stock or Class C common stock immediately following consummation of the Transactions, including our Co-Founders and certain of their affiliates, and any permitted transferee of such LLC Units and Class B or Class C common stock, that may exchange, at each of their respective options, in whole or in part from time to time, their LLC Units for, at our election (determined solely by our independent directors (within the meaning of Nasdaq rules) who are disinterested), cash or newly issued shares of our Class A common stock. In connection with an exchange of LLC Units, a corresponding number of shares of Class B common stock or Class C common stock, as applicable, shall be immediately and automatically transferred to Black Rock Coffee Bar, Inc. for no consideration and canceled.</w:t>
      </w:r>
    </w:p>
    <w:p>
      <w:pPr>
        <w:spacing w:after="0" w:line="126" w:lineRule="exact"/>
        <w:rPr>
          <w:rFonts w:ascii="Arial" w:cs="Arial" w:eastAsia="Arial" w:hAnsi="Arial"/>
          <w:sz w:val="18"/>
          <w:szCs w:val="18"/>
          <w:color w:val="auto"/>
        </w:rPr>
      </w:pPr>
    </w:p>
    <w:p>
      <w:pPr>
        <w:ind w:left="980" w:right="100" w:hanging="324"/>
        <w:spacing w:after="0" w:line="268"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“IPO” refers to our initial public offering, which we completed on September 15, 2025, and through which we offered 16,911,764 shares of our Class A common stock at a price to the public of $20.00 per share, which includes the exercise in full by the underwriters of their option to purchase an additional 2,205,882 shares of our Class A common stock.</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Units” means the membership units of Black Rock OpCo.</w:t>
      </w:r>
    </w:p>
    <w:p>
      <w:pPr>
        <w:spacing w:after="0" w:line="171" w:lineRule="exact"/>
        <w:rPr>
          <w:rFonts w:ascii="Arial" w:cs="Arial" w:eastAsia="Arial" w:hAnsi="Arial"/>
          <w:sz w:val="18"/>
          <w:szCs w:val="18"/>
          <w:color w:val="auto"/>
        </w:rPr>
      </w:pPr>
    </w:p>
    <w:p>
      <w:pPr>
        <w:ind w:left="980" w:right="460" w:hanging="324"/>
        <w:spacing w:after="0" w:line="28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Credit Agreement" means the credit agreement entered into with JP Morgan Chase Bank, N.A., as the administrative agent, and various lenders, on September 15, 2025.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Term Loan" means the $50.0 million term loan connected to the New Credit Agreement.</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Revolving Credit Facility" means the $25.0 million revolving credit facility connected to the New Credit Agreement.</w:t>
      </w:r>
    </w:p>
    <w:p>
      <w:pPr>
        <w:spacing w:after="0" w:line="171" w:lineRule="exact"/>
        <w:rPr>
          <w:rFonts w:ascii="Arial" w:cs="Arial" w:eastAsia="Arial" w:hAnsi="Arial"/>
          <w:sz w:val="18"/>
          <w:szCs w:val="18"/>
          <w:color w:val="auto"/>
        </w:rPr>
      </w:pPr>
    </w:p>
    <w:p>
      <w:pPr>
        <w:ind w:left="980" w:right="740" w:hanging="324"/>
        <w:spacing w:after="0" w:line="28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Credit Facilities" means the New Revolving Credit Facility together with the New Term Loan under the New Credit Agreement.</w:t>
      </w:r>
    </w:p>
    <w:p>
      <w:pPr>
        <w:spacing w:after="0" w:line="98" w:lineRule="exact"/>
        <w:rPr>
          <w:rFonts w:ascii="Arial" w:cs="Arial" w:eastAsia="Arial" w:hAnsi="Arial"/>
          <w:sz w:val="18"/>
          <w:szCs w:val="18"/>
          <w:color w:val="auto"/>
        </w:rPr>
      </w:pPr>
    </w:p>
    <w:p>
      <w:pPr>
        <w:ind w:left="980" w:right="20" w:hanging="324"/>
        <w:spacing w:after="0" w:line="255"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“Prior Credit Facility” means our former term loan credit facilities that were governed by that certain Credit Agreement, dated as of April 29, 2022 (as amended by that certain first amendment to the Credit Agreement, dated of November 11, 2022, as further amended by that certain second amendment to the Credit Agreement, dated as of January 13, 2023, as further amended by that certain third amendment to the Credit Agreement, dated as of May 8, 2023, as further amended by that certain fourth amendment and limited waiver to the Credit Agreement, dated as of May 31, 2024, as further amended by that certain fifth amendment to Credit Agreement, dated as of April 24, 2025, and as further amended, amended and restated, extended, supplemented or otherwise modified in writing from time to time), by and among the Company, the guarantors party thereto, the lenders party thereto, RCS Agent, LLC, as administrative agent, and TCW Asset Management Company, LLC, as collateral agent.</w:t>
      </w:r>
    </w:p>
    <w:p>
      <w:pPr>
        <w:spacing w:after="0" w:line="126" w:lineRule="exact"/>
        <w:rPr>
          <w:rFonts w:ascii="Arial" w:cs="Arial" w:eastAsia="Arial" w:hAnsi="Arial"/>
          <w:sz w:val="18"/>
          <w:szCs w:val="18"/>
          <w:color w:val="auto"/>
        </w:rPr>
      </w:pPr>
    </w:p>
    <w:p>
      <w:pPr>
        <w:ind w:left="980" w:right="320" w:hanging="324"/>
        <w:spacing w:after="0" w:line="28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"Refinancing" means the refinancing of our Prior Credit Facility and entering into the New Credit Facilities, which occurred as part of the Transactions.</w:t>
      </w:r>
    </w:p>
    <w:p>
      <w:pPr>
        <w:spacing w:after="0" w:line="112" w:lineRule="exact"/>
        <w:rPr>
          <w:rFonts w:ascii="Arial" w:cs="Arial" w:eastAsia="Arial" w:hAnsi="Arial"/>
          <w:sz w:val="18"/>
          <w:szCs w:val="18"/>
          <w:color w:val="auto"/>
        </w:rPr>
      </w:pPr>
    </w:p>
    <w:p>
      <w:pPr>
        <w:ind w:left="980" w:hanging="324"/>
        <w:spacing w:after="0" w:line="245" w:lineRule="auto"/>
        <w:tabs>
          <w:tab w:leader="none" w:pos="955" w:val="left"/>
        </w:tabs>
        <w:numPr>
          <w:ilvl w:val="0"/>
          <w:numId w:val="5"/>
        </w:numPr>
        <w:rPr>
          <w:rFonts w:ascii="Arial" w:cs="Arial" w:eastAsia="Arial" w:hAnsi="Arial"/>
          <w:sz w:val="20"/>
          <w:szCs w:val="20"/>
          <w:color w:val="auto"/>
        </w:rPr>
      </w:pPr>
      <w:r>
        <w:rPr>
          <w:rFonts w:ascii="Arial" w:cs="Arial" w:eastAsia="Arial" w:hAnsi="Arial"/>
          <w:sz w:val="18"/>
          <w:szCs w:val="18"/>
          <w:color w:val="auto"/>
        </w:rPr>
        <w:t>"Reverse build-to-suit" means lease arrangements in which the Company acts as the developer and manages construction of the building, while the landlord retains legal ownership of the land and resulting building.</w:t>
      </w:r>
    </w:p>
    <w:p>
      <w:pPr>
        <w:spacing w:after="0" w:line="120" w:lineRule="exact"/>
        <w:rPr>
          <w:rFonts w:ascii="Arial" w:cs="Arial" w:eastAsia="Arial" w:hAnsi="Arial"/>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 means The Cynosure Group, LLC and its affiliates.</w:t>
      </w:r>
    </w:p>
    <w:p>
      <w:pPr>
        <w:spacing w:after="0" w:line="171" w:lineRule="exact"/>
        <w:rPr>
          <w:rFonts w:ascii="Arial" w:cs="Arial" w:eastAsia="Arial" w:hAnsi="Arial"/>
          <w:sz w:val="18"/>
          <w:szCs w:val="18"/>
          <w:color w:val="auto"/>
        </w:rPr>
      </w:pPr>
    </w:p>
    <w:p>
      <w:pPr>
        <w:ind w:left="980" w:right="120" w:hanging="324"/>
        <w:spacing w:after="0" w:line="28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Receivable Agreement” or "TRA" means the tax receivable agreement, dated September 11, 2025, entered into with Black Rock OpCo and the TRA Parties.</w:t>
      </w:r>
    </w:p>
    <w:p>
      <w:pPr>
        <w:spacing w:after="0" w:line="98" w:lineRule="exact"/>
        <w:rPr>
          <w:rFonts w:ascii="Arial" w:cs="Arial" w:eastAsia="Arial" w:hAnsi="Arial"/>
          <w:sz w:val="18"/>
          <w:szCs w:val="18"/>
          <w:color w:val="auto"/>
        </w:rPr>
      </w:pPr>
    </w:p>
    <w:p>
      <w:pPr>
        <w:jc w:val="both"/>
        <w:ind w:left="980" w:hanging="324"/>
        <w:spacing w:after="0" w:line="268"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 Parties” refers to, collectively, our Co-Founders and certain of their affiliates, including Viking Cake, our Sponsor, certain of our current executive officers and Richard Federico and Sarah Goldsmith-Grover, each a director, and any future party to the Tax Receivable Agreement.</w:t>
      </w:r>
    </w:p>
    <w:p>
      <w:pPr>
        <w:spacing w:after="0" w:line="116" w:lineRule="exact"/>
        <w:rPr>
          <w:rFonts w:ascii="Arial" w:cs="Arial" w:eastAsia="Arial" w:hAnsi="Arial"/>
          <w:sz w:val="18"/>
          <w:szCs w:val="18"/>
          <w:color w:val="auto"/>
        </w:rPr>
      </w:pPr>
    </w:p>
    <w:p>
      <w:pPr>
        <w:ind w:left="980" w:right="540" w:hanging="324"/>
        <w:spacing w:after="0" w:line="28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“Transactions” refers to the organizational transactions described in The Transactions below and the application of the net proceeds therefrom.</w:t>
      </w:r>
    </w:p>
    <w:p>
      <w:pPr>
        <w:spacing w:after="0" w:line="98" w:lineRule="exact"/>
        <w:rPr>
          <w:rFonts w:ascii="Arial" w:cs="Arial" w:eastAsia="Arial" w:hAnsi="Arial"/>
          <w:sz w:val="18"/>
          <w:szCs w:val="18"/>
          <w:color w:val="auto"/>
        </w:rPr>
      </w:pPr>
    </w:p>
    <w:p>
      <w:pPr>
        <w:ind w:left="980" w:right="340" w:hanging="324"/>
        <w:spacing w:after="0" w:line="28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“Viking Cake” means Viking Cake BR, LLC, an entity controlled by affiliates of Daniel Brand and Jeff Hernandez and, prior to March 18, 2026, the Co-Founders.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TRANSACTIONS</w:t>
      </w:r>
    </w:p>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Black Rock Coffee Bar, Inc. was originally incorporated as a Delaware corporation on May 2, 2025 and, in June 2025, re-domiciled to be incorporated in Texas. Black Rock Coffee Bar, Inc. is a holding company and the sole managing member of Black Rock OpCo, and its principal asset consists of LLC Units. Prior to our IPO and the Transactions described below, all of our business operations were conducted through Black Rock OpCo, and the Continuing Equity Owners and the Blocker Companies were the only members of Black Rock OpCo. In connection with the consummation of the IPO, we undertook certain organizational transactions, including:</w:t>
      </w:r>
    </w:p>
    <w:p>
      <w:pPr>
        <w:spacing w:after="0" w:line="125" w:lineRule="exact"/>
        <w:rPr>
          <w:sz w:val="20"/>
          <w:szCs w:val="20"/>
          <w:color w:val="auto"/>
        </w:rPr>
      </w:pPr>
    </w:p>
    <w:p>
      <w:pPr>
        <w:ind w:left="660" w:right="40" w:hanging="328"/>
        <w:spacing w:after="0" w:line="27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amended and restated the Black Rock OpCo LLC Agreement to, among other things, (i) recapitalize its capital structure by creating a single new class of units, (ii) appoint Black Rock Coffee Bar, Inc. as the sole managing member of Black Rock OpCo, and</w:t>
      </w:r>
    </w:p>
    <w:p>
      <w:pPr>
        <w:ind w:left="940" w:hanging="284"/>
        <w:spacing w:after="0"/>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provide certain redemption rights to the Continuing Equity Owners.</w:t>
      </w:r>
    </w:p>
    <w:p>
      <w:pPr>
        <w:spacing w:after="0" w:line="99"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amended and restated Black Rock Coffee Bar, Inc.’s certificate of formation to, among other things, provide (i) for Class A common stock, with each share of our Class A common stock entitling its holder to one vote per share on all matters presented to our shareholders generally, (ii) for Class B common stock, with each share of our Class B common stock entitling its holder to one vote per share on all matters presented to our shareholders generally, (iii) for Class C common stock, with each share of our Class C common stock entitling its holder to ten votes per share on all matters presented to our shareholders generally, subject to certain sunset provisions, and (iv) for preferred stock, which can be issued by our Board of Directors in one or more series without shareholder approval.</w:t>
      </w:r>
    </w:p>
    <w:p>
      <w:pPr>
        <w:spacing w:after="0" w:line="74"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issued 23,460,312 shares of our Class B common stock to the Continuing Equity Owners, which is equal to the number of LLC Units held by such Continuing Equity Owners, for nominal consideration; we issued 19,618,915 shares of our Class C common stock to our Co-Founders and certain of their affiliates, which is equal to the number of LLC Units held by such Co-Founders and certain of their affiliates, for nominal consideration.</w:t>
      </w:r>
    </w:p>
    <w:p>
      <w:pPr>
        <w:spacing w:after="0" w:line="68" w:lineRule="exact"/>
        <w:rPr>
          <w:rFonts w:ascii="Arial" w:cs="Arial" w:eastAsia="Arial" w:hAnsi="Arial"/>
          <w:sz w:val="18"/>
          <w:szCs w:val="18"/>
          <w:color w:val="auto"/>
        </w:rPr>
      </w:pPr>
    </w:p>
    <w:p>
      <w:pPr>
        <w:ind w:left="660" w:right="16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entered into the Tax Receivable Agreement with Black Rock OpCo and the TRA Parties that provides for the payment by Black Rock Coffee Bar, Inc. to the TRA Parties of 85% of the amount of tax benefits, if any, that Black Rock Coffee Bar, Inc. actually realizes, or in some circumstances is deemed to realize, as a result of Basis Adjustments and certain tax benefits (such as interest deductions) arising from payments made under the Tax Receivable Agreement.</w:t>
      </w:r>
    </w:p>
    <w:p>
      <w:pPr>
        <w:spacing w:after="0" w:line="68" w:lineRule="exact"/>
        <w:rPr>
          <w:rFonts w:ascii="Arial" w:cs="Arial" w:eastAsia="Arial" w:hAnsi="Arial"/>
          <w:sz w:val="18"/>
          <w:szCs w:val="18"/>
          <w:color w:val="auto"/>
        </w:rPr>
      </w:pPr>
    </w:p>
    <w:p>
      <w:pPr>
        <w:ind w:left="660" w:right="120" w:hanging="328"/>
        <w:spacing w:after="0" w:line="26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issued 16,911,764 shares of our Class A common stock, which includes the exercise in full by the underwriters of their option to purchase an additional 2,205,882 shares of our Class A common stock, in exchange for net proceeds of approximately $314.6 million at the IPO price of $20.00, less the underwriting discounts and commissions.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affiliate of our Co-Founders purchased 3,118,938 newly issued LLC Units from Black Rock OpCo for approximately $62.4 million;</w:t>
      </w:r>
    </w:p>
    <w:p>
      <w:pPr>
        <w:spacing w:after="0" w:line="117" w:lineRule="exact"/>
        <w:rPr>
          <w:rFonts w:ascii="Arial" w:cs="Arial" w:eastAsia="Arial" w:hAnsi="Arial"/>
          <w:sz w:val="18"/>
          <w:szCs w:val="18"/>
          <w:color w:val="auto"/>
        </w:rPr>
      </w:pPr>
    </w:p>
    <w:p>
      <w:pPr>
        <w:ind w:left="660" w:right="300" w:hanging="328"/>
        <w:spacing w:after="0" w:line="262"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used the net proceeds from the IPO to purchase (i) 3,857,642 newly issued LLC Units for approximately $71.8 million directly from Black Rock OpCo; and (ii) purchase 13,054,122 LLC Units from certain Continuing Equity Owners for approximately $242.8 million, in each case, at the IPO price of $20.00 per share less the underwriting discounts and commissions, excluding offering expenses of approximately $8.0 million payable by Black Rock OpCo.</w:t>
      </w:r>
    </w:p>
    <w:p>
      <w:pPr>
        <w:spacing w:after="0" w:line="68"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Concurrently with the closing of the IPO, we refinanced our Prior Credit Facility and entered into the New Credit Facilities.</w:t>
      </w:r>
    </w:p>
    <w:p>
      <w:pPr>
        <w:spacing w:after="0" w:line="117" w:lineRule="exact"/>
        <w:rPr>
          <w:rFonts w:ascii="Arial" w:cs="Arial" w:eastAsia="Arial" w:hAnsi="Arial"/>
          <w:sz w:val="18"/>
          <w:szCs w:val="18"/>
          <w:color w:val="auto"/>
        </w:rPr>
      </w:pPr>
    </w:p>
    <w:p>
      <w:pPr>
        <w:ind w:left="660" w:right="360" w:hanging="328"/>
        <w:spacing w:after="0" w:line="28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closing of the IPO on September 15, 2025, there were 17,478,452 shares of Class A common stock, 10,377,136 shares of Class B common stock, 22,200,219 shares of Class C common stock and 50,055,807 LLC Units outstanding.</w:t>
      </w:r>
    </w:p>
    <w:p>
      <w:pPr>
        <w:spacing w:after="0" w:line="44" w:lineRule="exact"/>
        <w:rPr>
          <w:rFonts w:ascii="Arial" w:cs="Arial" w:eastAsia="Arial" w:hAnsi="Arial"/>
          <w:sz w:val="18"/>
          <w:szCs w:val="18"/>
          <w:color w:val="auto"/>
        </w:rPr>
      </w:pPr>
    </w:p>
    <w:p>
      <w:pPr>
        <w:ind w:left="660" w:right="40" w:hanging="328"/>
        <w:spacing w:after="0" w:line="27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Black Rock OpCo used or intends to use the proceeds from the sale of its LLC Units to us, together with proceeds from the Refinancing and the Co-Founder Contribution, (i) to repay all $113.2 million of outstanding borrowings under the Prior Credit Facility,</w:t>
      </w:r>
    </w:p>
    <w:p>
      <w:pPr>
        <w:ind w:left="900" w:hanging="244"/>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to pay offering expenses of $8.0 million and (iii)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 - 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2026</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2025</w:t>
            </w:r>
          </w:p>
        </w:tc>
      </w:tr>
      <w:tr>
        <w:trPr>
          <w:trHeight w:val="216"/>
        </w:trPr>
        <w:tc>
          <w:tcPr>
            <w:tcW w:w="7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08"/>
        </w:trPr>
        <w:tc>
          <w:tcPr>
            <w:tcW w:w="76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20,018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28,406</w:t>
            </w:r>
          </w:p>
        </w:tc>
      </w:tr>
      <w:tr>
        <w:trPr>
          <w:trHeight w:val="208"/>
        </w:trPr>
        <w:tc>
          <w:tcPr>
            <w:tcW w:w="768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3,450</w:t>
            </w: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3,256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2,898</w:t>
            </w:r>
          </w:p>
        </w:tc>
      </w:tr>
      <w:tr>
        <w:trPr>
          <w:trHeight w:val="208"/>
        </w:trPr>
        <w:tc>
          <w:tcPr>
            <w:tcW w:w="7680" w:type="dxa"/>
            <w:vAlign w:val="bottom"/>
          </w:tcPr>
          <w:p>
            <w:pPr>
              <w:ind w:left="180"/>
              <w:spacing w:after="0"/>
              <w:rPr>
                <w:sz w:val="20"/>
                <w:szCs w:val="20"/>
                <w:color w:val="auto"/>
              </w:rPr>
            </w:pPr>
            <w:r>
              <w:rPr>
                <w:rFonts w:ascii="Arial" w:cs="Arial" w:eastAsia="Arial" w:hAnsi="Arial"/>
                <w:sz w:val="14"/>
                <w:szCs w:val="14"/>
                <w:color w:val="auto"/>
              </w:rPr>
              <w:t>Prepaid expenses and deposits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5,363</w:t>
            </w:r>
          </w:p>
        </w:tc>
      </w:tr>
      <w:tr>
        <w:trPr>
          <w:trHeight w:val="22"/>
        </w:trPr>
        <w:tc>
          <w:tcPr>
            <w:tcW w:w="7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3"/>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30,464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40,117</w:t>
            </w:r>
          </w:p>
        </w:tc>
      </w:tr>
      <w:tr>
        <w:trPr>
          <w:trHeight w:val="208"/>
        </w:trPr>
        <w:tc>
          <w:tcPr>
            <w:tcW w:w="76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111,977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101,207</w:t>
            </w: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 net</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133,457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126,903</w:t>
            </w:r>
          </w:p>
        </w:tc>
      </w:tr>
      <w:tr>
        <w:trPr>
          <w:trHeight w:val="208"/>
        </w:trPr>
        <w:tc>
          <w:tcPr>
            <w:tcW w:w="76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277</w:t>
            </w: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9,360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9,360</w:t>
            </w:r>
          </w:p>
        </w:tc>
      </w:tr>
      <w:tr>
        <w:trPr>
          <w:trHeight w:val="208"/>
        </w:trPr>
        <w:tc>
          <w:tcPr>
            <w:tcW w:w="7680" w:type="dxa"/>
            <w:vAlign w:val="bottom"/>
          </w:tcPr>
          <w:p>
            <w:pPr>
              <w:ind w:left="20"/>
              <w:spacing w:after="0"/>
              <w:rPr>
                <w:sz w:val="20"/>
                <w:szCs w:val="20"/>
                <w:color w:val="auto"/>
              </w:rPr>
            </w:pPr>
            <w:r>
              <w:rPr>
                <w:rFonts w:ascii="Arial" w:cs="Arial" w:eastAsia="Arial" w:hAnsi="Arial"/>
                <w:sz w:val="14"/>
                <w:szCs w:val="14"/>
                <w:color w:val="auto"/>
              </w:rPr>
              <w:t>Deferred income tax asset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55,799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52,764</w:t>
            </w: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5,808</w:t>
            </w:r>
          </w:p>
        </w:tc>
      </w:tr>
      <w:tr>
        <w:trPr>
          <w:trHeight w:val="223"/>
        </w:trPr>
        <w:tc>
          <w:tcPr>
            <w:tcW w:w="76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347,236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336,436</w:t>
            </w: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3"/>
        </w:trPr>
        <w:tc>
          <w:tcPr>
            <w:tcW w:w="7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22"/>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17"/>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208"/>
        </w:trPr>
        <w:tc>
          <w:tcPr>
            <w:tcW w:w="768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12,126</w:t>
            </w: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Accrued expenses</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7,986</w:t>
            </w:r>
          </w:p>
        </w:tc>
      </w:tr>
      <w:tr>
        <w:trPr>
          <w:trHeight w:val="208"/>
        </w:trPr>
        <w:tc>
          <w:tcPr>
            <w:tcW w:w="7680" w:type="dxa"/>
            <w:vAlign w:val="bottom"/>
          </w:tcPr>
          <w:p>
            <w:pPr>
              <w:ind w:left="180"/>
              <w:spacing w:after="0"/>
              <w:rPr>
                <w:sz w:val="20"/>
                <w:szCs w:val="20"/>
                <w:color w:val="auto"/>
              </w:rPr>
            </w:pPr>
            <w:r>
              <w:rPr>
                <w:rFonts w:ascii="Arial" w:cs="Arial" w:eastAsia="Arial" w:hAnsi="Arial"/>
                <w:sz w:val="14"/>
                <w:szCs w:val="14"/>
                <w:color w:val="auto"/>
              </w:rPr>
              <w:t>Accrued payroll and benefits</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6,549</w:t>
            </w: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Gift card and loyalty program liability</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2,126</w:t>
            </w:r>
          </w:p>
        </w:tc>
      </w:tr>
      <w:tr>
        <w:trPr>
          <w:trHeight w:val="208"/>
        </w:trPr>
        <w:tc>
          <w:tcPr>
            <w:tcW w:w="7680" w:type="dxa"/>
            <w:vAlign w:val="bottom"/>
          </w:tcPr>
          <w:p>
            <w:pPr>
              <w:ind w:left="180"/>
              <w:spacing w:after="0"/>
              <w:rPr>
                <w:sz w:val="20"/>
                <w:szCs w:val="20"/>
                <w:color w:val="auto"/>
              </w:rPr>
            </w:pPr>
            <w:r>
              <w:rPr>
                <w:rFonts w:ascii="Arial" w:cs="Arial" w:eastAsia="Arial" w:hAnsi="Arial"/>
                <w:sz w:val="14"/>
                <w:szCs w:val="14"/>
                <w:color w:val="auto"/>
              </w:rPr>
              <w:t>Current portion of long-term debt</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835</w:t>
            </w: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Current portion of operating lease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9,091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8,960</w:t>
            </w:r>
          </w:p>
        </w:tc>
      </w:tr>
      <w:tr>
        <w:trPr>
          <w:trHeight w:val="201"/>
        </w:trPr>
        <w:tc>
          <w:tcPr>
            <w:tcW w:w="7680" w:type="dxa"/>
            <w:vAlign w:val="bottom"/>
          </w:tcPr>
          <w:p>
            <w:pPr>
              <w:ind w:left="36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35,132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38,582</w:t>
            </w: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9"/>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Tax receivable agreement liability</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42,527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38,893</w:t>
            </w:r>
          </w:p>
        </w:tc>
      </w:tr>
      <w:tr>
        <w:trPr>
          <w:trHeight w:val="208"/>
        </w:trPr>
        <w:tc>
          <w:tcPr>
            <w:tcW w:w="7680" w:type="dxa"/>
            <w:vAlign w:val="bottom"/>
          </w:tcPr>
          <w:p>
            <w:pPr>
              <w:ind w:left="20"/>
              <w:spacing w:after="0"/>
              <w:rPr>
                <w:sz w:val="20"/>
                <w:szCs w:val="20"/>
                <w:color w:val="auto"/>
              </w:rPr>
            </w:pPr>
            <w:r>
              <w:rPr>
                <w:rFonts w:ascii="Arial" w:cs="Arial" w:eastAsia="Arial" w:hAnsi="Arial"/>
                <w:sz w:val="14"/>
                <w:szCs w:val="14"/>
                <w:color w:val="auto"/>
              </w:rPr>
              <w:t>Long-term debt, net of current portion</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26,405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25,917</w:t>
            </w: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liabilities, net of current portion</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135,689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128,338</w:t>
            </w:r>
          </w:p>
        </w:tc>
      </w:tr>
      <w:tr>
        <w:trPr>
          <w:trHeight w:val="201"/>
        </w:trPr>
        <w:tc>
          <w:tcPr>
            <w:tcW w:w="7680" w:type="dxa"/>
            <w:vAlign w:val="bottom"/>
          </w:tcPr>
          <w:p>
            <w:pPr>
              <w:ind w:left="360"/>
              <w:spacing w:after="0"/>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239,753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231,730</w:t>
            </w: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1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(Note 13)</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r>
      <w:tr>
        <w:trPr>
          <w:trHeight w:val="193"/>
        </w:trPr>
        <w:tc>
          <w:tcPr>
            <w:tcW w:w="7680" w:type="dxa"/>
            <w:vAlign w:val="bottom"/>
          </w:tcPr>
          <w:p>
            <w:pPr>
              <w:ind w:left="180"/>
              <w:spacing w:after="0"/>
              <w:rPr>
                <w:sz w:val="20"/>
                <w:szCs w:val="20"/>
                <w:color w:val="auto"/>
              </w:rPr>
            </w:pPr>
            <w:r>
              <w:rPr>
                <w:rFonts w:ascii="Arial" w:cs="Arial" w:eastAsia="Arial" w:hAnsi="Arial"/>
                <w:sz w:val="14"/>
                <w:szCs w:val="14"/>
                <w:color w:val="auto"/>
              </w:rPr>
              <w:t>Preferred stock, par value $0.00001 per share; 20,000,000 shares authorized, no shares issued or outstanding as of</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0"/>
        </w:trPr>
        <w:tc>
          <w:tcPr>
            <w:tcW w:w="7680" w:type="dxa"/>
            <w:vAlign w:val="bottom"/>
          </w:tcPr>
          <w:p>
            <w:pPr>
              <w:ind w:left="180"/>
              <w:spacing w:after="0"/>
              <w:rPr>
                <w:sz w:val="20"/>
                <w:szCs w:val="20"/>
                <w:color w:val="auto"/>
              </w:rPr>
            </w:pPr>
            <w:r>
              <w:rPr>
                <w:rFonts w:ascii="Arial" w:cs="Arial" w:eastAsia="Arial" w:hAnsi="Arial"/>
                <w:sz w:val="14"/>
                <w:szCs w:val="14"/>
                <w:color w:val="auto"/>
              </w:rPr>
              <w:t>March 31, 2026 or December 31, 2025, respectively</w:t>
            </w:r>
          </w:p>
        </w:tc>
        <w:tc>
          <w:tcPr>
            <w:tcW w:w="22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3"/>
        </w:trPr>
        <w:tc>
          <w:tcPr>
            <w:tcW w:w="7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A common stock, par value $0.00001 per share; 500,000,000 shares authorized, 18,017,471 and 17,478,452</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192"/>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shares issued and outstanding as of March 31, 2026 and December 31, 2025, respectively</w:t>
            </w: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3"/>
        </w:trPr>
        <w:tc>
          <w:tcPr>
            <w:tcW w:w="7680" w:type="dxa"/>
            <w:vAlign w:val="bottom"/>
          </w:tcPr>
          <w:p>
            <w:pPr>
              <w:ind w:left="180"/>
              <w:spacing w:after="0"/>
              <w:rPr>
                <w:sz w:val="20"/>
                <w:szCs w:val="20"/>
                <w:color w:val="auto"/>
              </w:rPr>
            </w:pPr>
            <w:r>
              <w:rPr>
                <w:rFonts w:ascii="Arial" w:cs="Arial" w:eastAsia="Arial" w:hAnsi="Arial"/>
                <w:sz w:val="14"/>
                <w:szCs w:val="14"/>
                <w:color w:val="auto"/>
              </w:rPr>
              <w:t>Class B common stock, par value $0.00001 per share, 200,000,000 shares authorized, 10,377,136 and 10,916,155</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0"/>
        </w:trPr>
        <w:tc>
          <w:tcPr>
            <w:tcW w:w="7680" w:type="dxa"/>
            <w:vAlign w:val="bottom"/>
          </w:tcPr>
          <w:p>
            <w:pPr>
              <w:ind w:left="180"/>
              <w:spacing w:after="0"/>
              <w:rPr>
                <w:sz w:val="20"/>
                <w:szCs w:val="20"/>
                <w:color w:val="auto"/>
              </w:rPr>
            </w:pPr>
            <w:r>
              <w:rPr>
                <w:rFonts w:ascii="Arial" w:cs="Arial" w:eastAsia="Arial" w:hAnsi="Arial"/>
                <w:sz w:val="14"/>
                <w:szCs w:val="14"/>
                <w:color w:val="auto"/>
              </w:rPr>
              <w:t>shares issued and outstanding as of March 31, 2026 and December 31, 2025, respectively</w:t>
            </w:r>
          </w:p>
        </w:tc>
        <w:tc>
          <w:tcPr>
            <w:tcW w:w="22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193"/>
        </w:trPr>
        <w:tc>
          <w:tcPr>
            <w:tcW w:w="76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Class C common stock, par value $0.00001 per share, 50,000,000 shares authorized, 21,661,200 shares issued and</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192"/>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outstanding as of March 31, 2026 and December 31, 2025, respectively</w:t>
            </w:r>
          </w:p>
        </w:tc>
        <w:tc>
          <w:tcPr>
            <w:tcW w:w="22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768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46,952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45,735</w:t>
            </w:r>
          </w:p>
        </w:tc>
      </w:tr>
      <w:tr>
        <w:trPr>
          <w:trHeight w:val="21"/>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9"/>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Retained earnings (Accumulated deficit)</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01"/>
        </w:trPr>
        <w:tc>
          <w:tcPr>
            <w:tcW w:w="7680" w:type="dxa"/>
            <w:vAlign w:val="bottom"/>
          </w:tcPr>
          <w:p>
            <w:pPr>
              <w:ind w:left="360"/>
              <w:spacing w:after="0"/>
              <w:rPr>
                <w:sz w:val="20"/>
                <w:szCs w:val="20"/>
                <w:color w:val="auto"/>
              </w:rPr>
            </w:pPr>
            <w:r>
              <w:rPr>
                <w:rFonts w:ascii="Arial" w:cs="Arial" w:eastAsia="Arial" w:hAnsi="Arial"/>
                <w:sz w:val="14"/>
                <w:szCs w:val="14"/>
                <w:color w:val="auto"/>
              </w:rPr>
              <w:t>Total shareholders' equity attributable to Black Rock Coffee Bar, Inc.</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47,270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45,675</w:t>
            </w:r>
          </w:p>
        </w:tc>
      </w:tr>
      <w:tr>
        <w:trPr>
          <w:trHeight w:val="21"/>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0"/>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Noncontrolling interest</w:t>
            </w:r>
          </w:p>
        </w:tc>
        <w:tc>
          <w:tcPr>
            <w:tcW w:w="22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60,213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59,031</w:t>
            </w:r>
          </w:p>
        </w:tc>
      </w:tr>
      <w:tr>
        <w:trPr>
          <w:trHeight w:val="201"/>
        </w:trPr>
        <w:tc>
          <w:tcPr>
            <w:tcW w:w="7680" w:type="dxa"/>
            <w:vAlign w:val="bottom"/>
          </w:tcPr>
          <w:p>
            <w:pPr>
              <w:ind w:left="360"/>
              <w:spacing w:after="0"/>
              <w:rPr>
                <w:sz w:val="20"/>
                <w:szCs w:val="20"/>
                <w:color w:val="auto"/>
              </w:rPr>
            </w:pPr>
            <w:r>
              <w:rPr>
                <w:rFonts w:ascii="Arial" w:cs="Arial" w:eastAsia="Arial" w:hAnsi="Arial"/>
                <w:sz w:val="14"/>
                <w:szCs w:val="14"/>
                <w:color w:val="auto"/>
              </w:rPr>
              <w:t>Total shareholders' equity</w:t>
            </w:r>
          </w:p>
        </w:tc>
        <w:tc>
          <w:tcPr>
            <w:tcW w:w="22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107,483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104,706</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8"/>
        </w:trPr>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Total liabilities and shareholders' equity</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336,436</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6"/>
                <w:szCs w:val="16"/>
                <w:b w:val="1"/>
                <w:bCs w:val="1"/>
                <w:color w:val="auto"/>
              </w:rPr>
              <w:t>Three Months Ended March 31,</w:t>
            </w:r>
          </w:p>
        </w:tc>
      </w:tr>
      <w:tr>
        <w:trPr>
          <w:trHeight w:val="236"/>
        </w:trPr>
        <w:tc>
          <w:tcPr>
            <w:tcW w:w="77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6"/>
                <w:szCs w:val="16"/>
                <w:b w:val="1"/>
                <w:bCs w:val="1"/>
                <w:color w:val="auto"/>
              </w:rPr>
              <w:t>2025</w:t>
            </w:r>
          </w:p>
        </w:tc>
      </w:tr>
      <w:tr>
        <w:trPr>
          <w:trHeight w:val="24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55,384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44,774</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
        </w:trPr>
        <w:tc>
          <w:tcPr>
            <w:tcW w:w="7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55,454</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44,820</w:t>
            </w:r>
          </w:p>
        </w:tc>
      </w:tr>
      <w:tr>
        <w:trPr>
          <w:trHeight w:val="204"/>
        </w:trPr>
        <w:tc>
          <w:tcPr>
            <w:tcW w:w="7720" w:type="dxa"/>
            <w:vAlign w:val="bottom"/>
          </w:tcPr>
          <w:p>
            <w:pPr>
              <w:ind w:left="20"/>
              <w:spacing w:after="0" w:line="204" w:lineRule="exact"/>
              <w:rPr>
                <w:sz w:val="20"/>
                <w:szCs w:val="20"/>
                <w:color w:val="auto"/>
              </w:rPr>
            </w:pPr>
            <w:r>
              <w:rPr>
                <w:rFonts w:ascii="Arial" w:cs="Arial" w:eastAsia="Arial" w:hAnsi="Arial"/>
                <w:sz w:val="18"/>
                <w:szCs w:val="18"/>
                <w:color w:val="auto"/>
              </w:rPr>
              <w:t>Store operating costs and expenses (exclusive of depreciation and amortization presented</w:t>
            </w:r>
          </w:p>
        </w:tc>
        <w:tc>
          <w:tcPr>
            <w:tcW w:w="34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color w:val="auto"/>
              </w:rPr>
              <w:t>separately below):</w:t>
            </w: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Beverage, food and packaging costs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12,682</w:t>
            </w:r>
          </w:p>
        </w:tc>
      </w:tr>
      <w:tr>
        <w:trPr>
          <w:trHeight w:val="247"/>
        </w:trPr>
        <w:tc>
          <w:tcPr>
            <w:tcW w:w="7720" w:type="dxa"/>
            <w:vAlign w:val="bottom"/>
          </w:tcPr>
          <w:p>
            <w:pPr>
              <w:ind w:left="260"/>
              <w:spacing w:after="0"/>
              <w:rPr>
                <w:sz w:val="20"/>
                <w:szCs w:val="20"/>
                <w:color w:val="auto"/>
              </w:rPr>
            </w:pPr>
            <w:r>
              <w:rPr>
                <w:rFonts w:ascii="Arial" w:cs="Arial" w:eastAsia="Arial" w:hAnsi="Arial"/>
                <w:sz w:val="18"/>
                <w:szCs w:val="18"/>
                <w:color w:val="auto"/>
              </w:rPr>
              <w:t>Labor and related expenses</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11,475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9,419</w:t>
            </w:r>
          </w:p>
        </w:tc>
      </w:tr>
      <w:tr>
        <w:trPr>
          <w:trHeight w:val="23"/>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Occupancy and related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r>
      <w:tr>
        <w:trPr>
          <w:trHeight w:val="247"/>
        </w:trPr>
        <w:tc>
          <w:tcPr>
            <w:tcW w:w="7720" w:type="dxa"/>
            <w:vAlign w:val="bottom"/>
          </w:tcPr>
          <w:p>
            <w:pPr>
              <w:ind w:left="260"/>
              <w:spacing w:after="0"/>
              <w:rPr>
                <w:sz w:val="20"/>
                <w:szCs w:val="20"/>
                <w:color w:val="auto"/>
              </w:rPr>
            </w:pPr>
            <w:r>
              <w:rPr>
                <w:rFonts w:ascii="Arial" w:cs="Arial" w:eastAsia="Arial" w:hAnsi="Arial"/>
                <w:sz w:val="18"/>
                <w:szCs w:val="18"/>
                <w:color w:val="auto"/>
              </w:rPr>
              <w:t>Other store operating expenses</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7,782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6,239</w:t>
            </w:r>
          </w:p>
        </w:tc>
      </w:tr>
      <w:tr>
        <w:trPr>
          <w:trHeight w:val="23"/>
        </w:trPr>
        <w:tc>
          <w:tcPr>
            <w:tcW w:w="7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store operating 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32,088</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9,242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6,880</w:t>
            </w:r>
          </w:p>
        </w:tc>
      </w:tr>
      <w:tr>
        <w:trPr>
          <w:trHeight w:val="23"/>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Pre-opening costs</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1,088</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718</w:t>
            </w:r>
          </w:p>
        </w:tc>
      </w:tr>
      <w:tr>
        <w:trPr>
          <w:trHeight w:val="23"/>
        </w:trPr>
        <w:tc>
          <w:tcPr>
            <w:tcW w:w="7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3"/>
        </w:trPr>
        <w:tc>
          <w:tcPr>
            <w:tcW w:w="77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42,569</w:t>
            </w:r>
          </w:p>
        </w:tc>
      </w:tr>
      <w:tr>
        <w:trPr>
          <w:trHeight w:val="240"/>
        </w:trPr>
        <w:tc>
          <w:tcPr>
            <w:tcW w:w="77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8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w:t>
            </w:r>
          </w:p>
        </w:tc>
      </w:tr>
      <w:tr>
        <w:trPr>
          <w:trHeight w:val="23"/>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r>
      <w:tr>
        <w:trPr>
          <w:trHeight w:val="247"/>
        </w:trPr>
        <w:tc>
          <w:tcPr>
            <w:tcW w:w="772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
        </w:trPr>
        <w:tc>
          <w:tcPr>
            <w:tcW w:w="7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r>
      <w:tr>
        <w:trPr>
          <w:trHeight w:val="247"/>
        </w:trPr>
        <w:tc>
          <w:tcPr>
            <w:tcW w:w="772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
        </w:trPr>
        <w:tc>
          <w:tcPr>
            <w:tcW w:w="7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47"/>
        </w:trPr>
        <w:tc>
          <w:tcPr>
            <w:tcW w:w="7720" w:type="dxa"/>
            <w:vAlign w:val="bottom"/>
          </w:tcPr>
          <w:p>
            <w:pPr>
              <w:ind w:left="240"/>
              <w:spacing w:after="0"/>
              <w:rPr>
                <w:sz w:val="20"/>
                <w:szCs w:val="20"/>
                <w:color w:val="auto"/>
              </w:rPr>
            </w:pPr>
            <w:r>
              <w:rPr>
                <w:rFonts w:ascii="Arial" w:cs="Arial" w:eastAsia="Arial" w:hAnsi="Arial"/>
                <w:sz w:val="18"/>
                <w:szCs w:val="18"/>
                <w:color w:val="auto"/>
              </w:rPr>
              <w:t>Less: Net loss attributable to Black Rock OpCo prior to the Transactions</w:t>
            </w:r>
          </w:p>
        </w:tc>
        <w:tc>
          <w:tcPr>
            <w:tcW w:w="3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3"/>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Less: Net income attributable to noncontrolling interest</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7720" w:type="dxa"/>
            <w:vAlign w:val="bottom"/>
          </w:tcPr>
          <w:p>
            <w:pPr>
              <w:ind w:left="20"/>
              <w:spacing w:after="0"/>
              <w:rPr>
                <w:sz w:val="20"/>
                <w:szCs w:val="20"/>
                <w:color w:val="auto"/>
              </w:rPr>
            </w:pPr>
            <w:r>
              <w:rPr>
                <w:rFonts w:ascii="Arial" w:cs="Arial" w:eastAsia="Arial" w:hAnsi="Arial"/>
                <w:sz w:val="18"/>
                <w:szCs w:val="18"/>
                <w:color w:val="auto"/>
              </w:rPr>
              <w:t>Net income attributable to Black Rock Coffee Bar, Inc.</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8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CEEFF"/>
          </w:tcPr>
          <w:p>
            <w:pPr>
              <w:ind w:left="20"/>
              <w:spacing w:after="0" w:line="237" w:lineRule="exact"/>
              <w:rPr>
                <w:sz w:val="20"/>
                <w:szCs w:val="20"/>
                <w:color w:val="auto"/>
              </w:rPr>
            </w:pPr>
            <w:r>
              <w:rPr>
                <w:rFonts w:ascii="Arial" w:cs="Arial" w:eastAsia="Arial" w:hAnsi="Arial"/>
                <w:sz w:val="18"/>
                <w:szCs w:val="18"/>
                <w:color w:val="auto"/>
              </w:rPr>
              <w:t xml:space="preserve">Net income per share of Class A common stock: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47"/>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0.02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Weighted-average shares of Class A common stock outstanding</w:t>
            </w:r>
          </w:p>
        </w:tc>
        <w:tc>
          <w:tcPr>
            <w:tcW w:w="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
        </w:trPr>
        <w:tc>
          <w:tcPr>
            <w:tcW w:w="7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17,562,299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47"/>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17,562,299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3" w:lineRule="exact"/>
        <w:rPr>
          <w:sz w:val="20"/>
          <w:szCs w:val="20"/>
          <w:color w:val="auto"/>
        </w:rPr>
      </w:pPr>
    </w:p>
    <w:p>
      <w:pPr>
        <w:ind w:left="340" w:right="220" w:hanging="332"/>
        <w:spacing w:after="0" w:line="302" w:lineRule="auto"/>
        <w:tabs>
          <w:tab w:leader="none" w:pos="218" w:val="left"/>
        </w:tabs>
        <w:numPr>
          <w:ilvl w:val="0"/>
          <w:numId w:val="8"/>
        </w:numPr>
        <w:rPr>
          <w:rFonts w:ascii="Arial" w:cs="Arial" w:eastAsia="Arial" w:hAnsi="Arial"/>
          <w:sz w:val="13"/>
          <w:szCs w:val="13"/>
          <w:color w:val="auto"/>
        </w:rPr>
      </w:pPr>
      <w:r>
        <w:rPr>
          <w:rFonts w:ascii="Arial" w:cs="Arial" w:eastAsia="Arial" w:hAnsi="Arial"/>
          <w:sz w:val="13"/>
          <w:szCs w:val="13"/>
          <w:color w:val="auto"/>
        </w:rPr>
        <w:t>Basic and diluted net loss per share of Class A common stock is applicable only for the period subsequent to September 12, 2025, which is the period effective with and following the IPO and Transactions (as defined in Note 1 to the Condensed Consolidated Financial Statements, unaudited).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Temporary Equity, Members’ Deficit and Shareholders'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gridSpan w:val="11"/>
          </w:tcPr>
          <w:p>
            <w:pPr>
              <w:jc w:val="right"/>
              <w:spacing w:after="0"/>
              <w:rPr>
                <w:sz w:val="20"/>
                <w:szCs w:val="20"/>
                <w:color w:val="auto"/>
              </w:rPr>
            </w:pPr>
            <w:r>
              <w:rPr>
                <w:rFonts w:ascii="Arial" w:cs="Arial" w:eastAsia="Arial" w:hAnsi="Arial"/>
                <w:sz w:val="14"/>
                <w:szCs w:val="14"/>
                <w:b w:val="1"/>
                <w:bCs w:val="1"/>
                <w:color w:val="auto"/>
              </w:rPr>
              <w:t>Black Rock Coffee Bar, Inc. Shareholders' Equity</w:t>
            </w: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23"/>
        </w:trPr>
        <w:tc>
          <w:tcPr>
            <w:tcW w:w="2080" w:type="dxa"/>
            <w:vAlign w:val="bottom"/>
          </w:tcPr>
          <w:p>
            <w:pPr>
              <w:spacing w:after="0"/>
              <w:rPr>
                <w:sz w:val="19"/>
                <w:szCs w:val="19"/>
                <w:color w:val="auto"/>
              </w:rPr>
            </w:pP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rPr>
              <w:t>Class A Common stock</w:t>
            </w:r>
          </w:p>
        </w:tc>
        <w:tc>
          <w:tcPr>
            <w:tcW w:w="1720" w:type="dxa"/>
            <w:vAlign w:val="bottom"/>
            <w:gridSpan w:val="5"/>
          </w:tcPr>
          <w:p>
            <w:pPr>
              <w:ind w:left="20"/>
              <w:spacing w:after="0"/>
              <w:rPr>
                <w:sz w:val="20"/>
                <w:szCs w:val="20"/>
                <w:color w:val="auto"/>
              </w:rPr>
            </w:pPr>
            <w:r>
              <w:rPr>
                <w:rFonts w:ascii="Arial" w:cs="Arial" w:eastAsia="Arial" w:hAnsi="Arial"/>
                <w:sz w:val="14"/>
                <w:szCs w:val="14"/>
                <w:b w:val="1"/>
                <w:bCs w:val="1"/>
                <w:color w:val="auto"/>
              </w:rPr>
              <w:t>Class B Common stock</w:t>
            </w:r>
          </w:p>
        </w:tc>
        <w:tc>
          <w:tcPr>
            <w:tcW w:w="1740" w:type="dxa"/>
            <w:vAlign w:val="bottom"/>
            <w:gridSpan w:val="5"/>
          </w:tcPr>
          <w:p>
            <w:pPr>
              <w:ind w:left="20"/>
              <w:spacing w:after="0"/>
              <w:rPr>
                <w:sz w:val="20"/>
                <w:szCs w:val="20"/>
                <w:color w:val="auto"/>
              </w:rPr>
            </w:pPr>
            <w:r>
              <w:rPr>
                <w:rFonts w:ascii="Arial" w:cs="Arial" w:eastAsia="Arial" w:hAnsi="Arial"/>
                <w:sz w:val="14"/>
                <w:szCs w:val="14"/>
                <w:b w:val="1"/>
                <w:bCs w:val="1"/>
                <w:color w:val="auto"/>
              </w:rPr>
              <w:t>Class C Common stock</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66"/>
        </w:trPr>
        <w:tc>
          <w:tcPr>
            <w:tcW w:w="20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6"/>
        </w:trPr>
        <w:tc>
          <w:tcPr>
            <w:tcW w:w="2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62"/>
        </w:trPr>
        <w:tc>
          <w:tcPr>
            <w:tcW w:w="2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Noncontrolling</w:t>
            </w:r>
          </w:p>
        </w:tc>
        <w:tc>
          <w:tcPr>
            <w:tcW w:w="700" w:type="dxa"/>
            <w:vAlign w:val="bottom"/>
          </w:tcPr>
          <w:p>
            <w:pPr>
              <w:spacing w:after="0"/>
              <w:rPr>
                <w:sz w:val="14"/>
                <w:szCs w:val="14"/>
                <w:color w:val="auto"/>
              </w:rPr>
            </w:pPr>
          </w:p>
        </w:tc>
      </w:tr>
      <w:tr>
        <w:trPr>
          <w:trHeight w:val="219"/>
        </w:trPr>
        <w:tc>
          <w:tcPr>
            <w:tcW w:w="2080" w:type="dxa"/>
            <w:vAlign w:val="bottom"/>
          </w:tcPr>
          <w:p>
            <w:pPr>
              <w:spacing w:after="0"/>
              <w:rPr>
                <w:sz w:val="19"/>
                <w:szCs w:val="19"/>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9"/>
                <w:szCs w:val="19"/>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9"/>
                <w:szCs w:val="19"/>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Interest</w:t>
            </w: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Total</w:t>
            </w:r>
          </w:p>
        </w:tc>
      </w:tr>
      <w:tr>
        <w:trPr>
          <w:trHeight w:val="166"/>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w:t>
            </w: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r>
      <w:tr>
        <w:trPr>
          <w:trHeight w:val="205"/>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2025</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17,479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10,916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21,661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45,735</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59,031</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$ 104,706</w:t>
            </w:r>
          </w:p>
        </w:tc>
      </w:tr>
      <w:tr>
        <w:trPr>
          <w:trHeight w:val="208"/>
        </w:trPr>
        <w:tc>
          <w:tcPr>
            <w:tcW w:w="20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1,421</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1,799</w:t>
            </w:r>
          </w:p>
        </w:tc>
      </w:tr>
      <w:tr>
        <w:trPr>
          <w:trHeight w:val="22"/>
        </w:trPr>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1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Equity-based compensation</w:t>
            </w: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759</w:t>
            </w:r>
          </w:p>
        </w:tc>
        <w:tc>
          <w:tcPr>
            <w:tcW w:w="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1,187</w:t>
            </w:r>
          </w:p>
        </w:tc>
      </w:tr>
      <w:tr>
        <w:trPr>
          <w:trHeight w:val="180"/>
        </w:trPr>
        <w:tc>
          <w:tcPr>
            <w:tcW w:w="2080" w:type="dxa"/>
            <w:vAlign w:val="bottom"/>
          </w:tcPr>
          <w:p>
            <w:pPr>
              <w:ind w:left="20"/>
              <w:spacing w:after="0"/>
              <w:rPr>
                <w:sz w:val="20"/>
                <w:szCs w:val="20"/>
                <w:color w:val="auto"/>
              </w:rPr>
            </w:pPr>
            <w:r>
              <w:rPr>
                <w:rFonts w:ascii="Arial" w:cs="Arial" w:eastAsia="Arial" w:hAnsi="Arial"/>
                <w:sz w:val="14"/>
                <w:szCs w:val="14"/>
                <w:color w:val="auto"/>
              </w:rPr>
              <w:t>Impact of Tax Receivable</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4"/>
        </w:trPr>
        <w:tc>
          <w:tcPr>
            <w:tcW w:w="2080" w:type="dxa"/>
            <w:vAlign w:val="bottom"/>
          </w:tcPr>
          <w:p>
            <w:pPr>
              <w:ind w:left="20"/>
              <w:spacing w:after="0"/>
              <w:rPr>
                <w:sz w:val="20"/>
                <w:szCs w:val="20"/>
                <w:color w:val="auto"/>
              </w:rPr>
            </w:pPr>
            <w:r>
              <w:rPr>
                <w:rFonts w:ascii="Arial" w:cs="Arial" w:eastAsia="Arial" w:hAnsi="Arial"/>
                <w:sz w:val="14"/>
                <w:szCs w:val="14"/>
                <w:color w:val="auto"/>
              </w:rPr>
              <w:t>Agreement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(209)</w:t>
            </w:r>
          </w:p>
        </w:tc>
      </w:tr>
      <w:tr>
        <w:trPr>
          <w:trHeight w:val="22"/>
        </w:trPr>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9"/>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Redemption of LLC Units</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539</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998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(998)</w:t>
            </w:r>
          </w:p>
        </w:tc>
        <w:tc>
          <w:tcPr>
            <w:tcW w:w="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7"/>
        </w:trPr>
        <w:tc>
          <w:tcPr>
            <w:tcW w:w="2080" w:type="dxa"/>
            <w:vAlign w:val="bottom"/>
          </w:tcPr>
          <w:p>
            <w:pPr>
              <w:ind w:left="20"/>
              <w:spacing w:after="0"/>
              <w:rPr>
                <w:sz w:val="20"/>
                <w:szCs w:val="20"/>
                <w:color w:val="auto"/>
              </w:rPr>
            </w:pPr>
            <w:r>
              <w:rPr>
                <w:rFonts w:ascii="Arial" w:cs="Arial" w:eastAsia="Arial" w:hAnsi="Arial"/>
                <w:sz w:val="14"/>
                <w:szCs w:val="14"/>
                <w:b w:val="1"/>
                <w:bCs w:val="1"/>
                <w:color w:val="auto"/>
              </w:rPr>
              <w:t>Balance as of March 31, 2026</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18,017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10,377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21,661</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46,952</w:t>
            </w: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60,213</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$ 107,483</w:t>
            </w:r>
          </w:p>
        </w:tc>
      </w:tr>
      <w:tr>
        <w:trPr>
          <w:trHeight w:val="40"/>
        </w:trPr>
        <w:tc>
          <w:tcPr>
            <w:tcW w:w="20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Changes in Temporary Equity, Members’ Deficit and Shareholders' Equity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6"/>
                <w:szCs w:val="16"/>
                <w:b w:val="1"/>
                <w:bCs w:val="1"/>
                <w:color w:val="auto"/>
              </w:rPr>
              <w:t>Temporary Equity</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9"/>
        </w:trPr>
        <w:tc>
          <w:tcPr>
            <w:tcW w:w="4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Series A</w:t>
            </w:r>
          </w:p>
        </w:tc>
        <w:tc>
          <w:tcPr>
            <w:tcW w:w="24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Series A-1</w:t>
            </w:r>
          </w:p>
        </w:tc>
        <w:tc>
          <w:tcPr>
            <w:tcW w:w="240" w:type="dxa"/>
            <w:vAlign w:val="bottom"/>
          </w:tcPr>
          <w:p>
            <w:pPr>
              <w:spacing w:after="0"/>
              <w:rPr>
                <w:sz w:val="20"/>
                <w:szCs w:val="20"/>
                <w:color w:val="auto"/>
              </w:rPr>
            </w:pPr>
          </w:p>
        </w:tc>
        <w:tc>
          <w:tcPr>
            <w:tcW w:w="1420" w:type="dxa"/>
            <w:vAlign w:val="bottom"/>
            <w:gridSpan w:val="3"/>
          </w:tcPr>
          <w:p>
            <w:pPr>
              <w:ind w:left="120"/>
              <w:spacing w:after="0"/>
              <w:rPr>
                <w:sz w:val="20"/>
                <w:szCs w:val="20"/>
                <w:color w:val="auto"/>
              </w:rPr>
            </w:pPr>
            <w:r>
              <w:rPr>
                <w:rFonts w:ascii="Arial" w:cs="Arial" w:eastAsia="Arial" w:hAnsi="Arial"/>
                <w:sz w:val="16"/>
                <w:szCs w:val="16"/>
                <w:b w:val="1"/>
                <w:bCs w:val="1"/>
                <w:color w:val="auto"/>
              </w:rPr>
              <w:t>Series A-2</w:t>
            </w:r>
          </w:p>
        </w:tc>
        <w:tc>
          <w:tcPr>
            <w:tcW w:w="150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rPr>
              <w:t>Members’ Deficit</w:t>
            </w:r>
          </w:p>
        </w:tc>
      </w:tr>
      <w:tr>
        <w:trPr>
          <w:trHeight w:val="267"/>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2024</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8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206,973</w:t>
            </w:r>
          </w:p>
        </w:tc>
        <w:tc>
          <w:tcPr>
            <w:tcW w:w="8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30,773</w:t>
            </w:r>
          </w:p>
        </w:tc>
        <w:tc>
          <w:tcPr>
            <w:tcW w:w="100" w:type="dxa"/>
            <w:vAlign w:val="bottom"/>
            <w:tcBorders>
              <w:top w:val="single" w:sz="8" w:color="CCEEFF"/>
              <w:right w:val="single" w:sz="8" w:color="auto"/>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(257,836)</w:t>
            </w:r>
          </w:p>
        </w:tc>
      </w:tr>
      <w:tr>
        <w:trPr>
          <w:trHeight w:val="241"/>
        </w:trPr>
        <w:tc>
          <w:tcPr>
            <w:tcW w:w="4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3"/>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Deemed distribution for Series A-1 Preferred Units</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(8,349)</w:t>
            </w:r>
          </w:p>
        </w:tc>
      </w:tr>
      <w:tr>
        <w:trPr>
          <w:trHeight w:val="257"/>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Balance as of March 31, 2025</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215,322</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30,773</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(267,069)</w:t>
            </w:r>
          </w:p>
        </w:tc>
      </w:tr>
      <w:tr>
        <w:trPr>
          <w:trHeight w:val="41"/>
        </w:trPr>
        <w:tc>
          <w:tcPr>
            <w:tcW w:w="49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180" w:type="dxa"/>
            <w:vAlign w:val="bottom"/>
          </w:tcPr>
          <w:p>
            <w:pPr>
              <w:spacing w:after="0"/>
              <w:rPr>
                <w:sz w:val="17"/>
                <w:szCs w:val="17"/>
                <w:color w:val="auto"/>
              </w:rPr>
            </w:pPr>
          </w:p>
        </w:tc>
        <w:tc>
          <w:tcPr>
            <w:tcW w:w="3060" w:type="dxa"/>
            <w:vAlign w:val="bottom"/>
            <w:tcBorders>
              <w:bottom w:val="single" w:sz="8" w:color="auto"/>
            </w:tcBorders>
            <w:gridSpan w:val="5"/>
          </w:tcPr>
          <w:p>
            <w:pPr>
              <w:jc w:val="right"/>
              <w:ind w:right="388"/>
              <w:spacing w:after="0"/>
              <w:rPr>
                <w:sz w:val="20"/>
                <w:szCs w:val="20"/>
                <w:color w:val="auto"/>
              </w:rPr>
            </w:pPr>
            <w:r>
              <w:rPr>
                <w:rFonts w:ascii="Arial" w:cs="Arial" w:eastAsia="Arial" w:hAnsi="Arial"/>
                <w:sz w:val="14"/>
                <w:szCs w:val="14"/>
                <w:b w:val="1"/>
                <w:bCs w:val="1"/>
                <w:color w:val="auto"/>
              </w:rPr>
              <w:t>Three Months Ended March 31,</w:t>
            </w:r>
          </w:p>
        </w:tc>
      </w:tr>
      <w:tr>
        <w:trPr>
          <w:trHeight w:val="223"/>
        </w:trPr>
        <w:tc>
          <w:tcPr>
            <w:tcW w:w="81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2025</w:t>
            </w: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8"/>
        </w:trPr>
        <w:tc>
          <w:tcPr>
            <w:tcW w:w="81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1,799</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(884)</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08"/>
        </w:trPr>
        <w:tc>
          <w:tcPr>
            <w:tcW w:w="818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2,883</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Amortization of debt issuance costs and loan fees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w:t>
            </w:r>
          </w:p>
        </w:tc>
      </w:tr>
      <w:tr>
        <w:trPr>
          <w:trHeight w:val="208"/>
        </w:trPr>
        <w:tc>
          <w:tcPr>
            <w:tcW w:w="8180" w:type="dxa"/>
            <w:vAlign w:val="bottom"/>
          </w:tcPr>
          <w:p>
            <w:pPr>
              <w:ind w:left="260"/>
              <w:spacing w:after="0"/>
              <w:rPr>
                <w:sz w:val="20"/>
                <w:szCs w:val="20"/>
                <w:color w:val="auto"/>
              </w:rPr>
            </w:pPr>
            <w:r>
              <w:rPr>
                <w:rFonts w:ascii="Arial" w:cs="Arial" w:eastAsia="Arial" w:hAnsi="Arial"/>
                <w:sz w:val="14"/>
                <w:szCs w:val="14"/>
                <w:color w:val="auto"/>
              </w:rPr>
              <w:t>Accrued paid-in-kind interest</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Interest income from related party</w:t>
            </w:r>
          </w:p>
        </w:tc>
        <w:tc>
          <w:tcPr>
            <w:tcW w:w="9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r>
      <w:tr>
        <w:trPr>
          <w:trHeight w:val="208"/>
        </w:trPr>
        <w:tc>
          <w:tcPr>
            <w:tcW w:w="8180" w:type="dxa"/>
            <w:vAlign w:val="bottom"/>
          </w:tcPr>
          <w:p>
            <w:pPr>
              <w:ind w:left="260"/>
              <w:spacing w:after="0"/>
              <w:rPr>
                <w:sz w:val="20"/>
                <w:szCs w:val="20"/>
                <w:color w:val="auto"/>
              </w:rPr>
            </w:pPr>
            <w:r>
              <w:rPr>
                <w:rFonts w:ascii="Arial" w:cs="Arial" w:eastAsia="Arial" w:hAnsi="Arial"/>
                <w:sz w:val="14"/>
                <w:szCs w:val="14"/>
                <w:color w:val="auto"/>
              </w:rPr>
              <w:t>Equity-based compensation</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1,187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Deferred income taxes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8180" w:type="dxa"/>
            <w:vAlign w:val="bottom"/>
          </w:tcPr>
          <w:p>
            <w:pPr>
              <w:ind w:left="260"/>
              <w:spacing w:after="0"/>
              <w:rPr>
                <w:sz w:val="20"/>
                <w:szCs w:val="20"/>
                <w:color w:val="auto"/>
              </w:rPr>
            </w:pPr>
            <w:r>
              <w:rPr>
                <w:rFonts w:ascii="Arial" w:cs="Arial" w:eastAsia="Arial" w:hAnsi="Arial"/>
                <w:sz w:val="14"/>
                <w:szCs w:val="14"/>
                <w:color w:val="auto"/>
              </w:rPr>
              <w:t>TRA remeasurement loss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Non-cash operating lease costs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w:t>
            </w:r>
          </w:p>
        </w:tc>
      </w:tr>
      <w:tr>
        <w:trPr>
          <w:trHeight w:val="208"/>
        </w:trPr>
        <w:tc>
          <w:tcPr>
            <w:tcW w:w="8180" w:type="dxa"/>
            <w:vAlign w:val="bottom"/>
          </w:tcPr>
          <w:p>
            <w:pPr>
              <w:ind w:left="260"/>
              <w:spacing w:after="0"/>
              <w:rPr>
                <w:sz w:val="20"/>
                <w:szCs w:val="20"/>
                <w:color w:val="auto"/>
              </w:rPr>
            </w:pPr>
            <w:r>
              <w:rPr>
                <w:rFonts w:ascii="Arial" w:cs="Arial" w:eastAsia="Arial" w:hAnsi="Arial"/>
                <w:sz w:val="14"/>
                <w:szCs w:val="14"/>
                <w:color w:val="auto"/>
              </w:rPr>
              <w:t>Changes in operating assets and liabilities:</w:t>
            </w:r>
          </w:p>
        </w:tc>
        <w:tc>
          <w:tcPr>
            <w:tcW w:w="9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Receivables, net</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(1,233)</w:t>
            </w:r>
          </w:p>
        </w:tc>
      </w:tr>
      <w:tr>
        <w:trPr>
          <w:trHeight w:val="208"/>
        </w:trPr>
        <w:tc>
          <w:tcPr>
            <w:tcW w:w="8180" w:type="dxa"/>
            <w:vAlign w:val="bottom"/>
          </w:tcPr>
          <w:p>
            <w:pPr>
              <w:ind w:left="440"/>
              <w:spacing w:after="0"/>
              <w:rPr>
                <w:sz w:val="20"/>
                <w:szCs w:val="20"/>
                <w:color w:val="auto"/>
              </w:rPr>
            </w:pPr>
            <w:r>
              <w:rPr>
                <w:rFonts w:ascii="Arial" w:cs="Arial" w:eastAsia="Arial" w:hAnsi="Arial"/>
                <w:sz w:val="14"/>
                <w:szCs w:val="14"/>
                <w:color w:val="auto"/>
              </w:rPr>
              <w:t>Inventories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Prepaid expenses and deposits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327</w:t>
            </w:r>
          </w:p>
        </w:tc>
      </w:tr>
      <w:tr>
        <w:trPr>
          <w:trHeight w:val="208"/>
        </w:trPr>
        <w:tc>
          <w:tcPr>
            <w:tcW w:w="8180" w:type="dxa"/>
            <w:vAlign w:val="bottom"/>
          </w:tcPr>
          <w:p>
            <w:pPr>
              <w:ind w:left="440"/>
              <w:spacing w:after="0"/>
              <w:rPr>
                <w:sz w:val="20"/>
                <w:szCs w:val="20"/>
                <w:color w:val="auto"/>
              </w:rPr>
            </w:pPr>
            <w:r>
              <w:rPr>
                <w:rFonts w:ascii="Arial" w:cs="Arial" w:eastAsia="Arial" w:hAnsi="Arial"/>
                <w:sz w:val="14"/>
                <w:szCs w:val="14"/>
                <w:color w:val="auto"/>
              </w:rPr>
              <w:t>Other assets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Accounts payable</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w:t>
            </w:r>
          </w:p>
        </w:tc>
      </w:tr>
      <w:tr>
        <w:trPr>
          <w:trHeight w:val="208"/>
        </w:trPr>
        <w:tc>
          <w:tcPr>
            <w:tcW w:w="8180" w:type="dxa"/>
            <w:vAlign w:val="bottom"/>
          </w:tcPr>
          <w:p>
            <w:pPr>
              <w:ind w:left="440"/>
              <w:spacing w:after="0"/>
              <w:rPr>
                <w:sz w:val="20"/>
                <w:szCs w:val="20"/>
                <w:color w:val="auto"/>
              </w:rPr>
            </w:pPr>
            <w:r>
              <w:rPr>
                <w:rFonts w:ascii="Arial" w:cs="Arial" w:eastAsia="Arial" w:hAnsi="Arial"/>
                <w:sz w:val="14"/>
                <w:szCs w:val="14"/>
                <w:color w:val="auto"/>
              </w:rPr>
              <w:t>Accrued payroll and benefits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(2,808)</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Deferred compensation</w:t>
            </w:r>
          </w:p>
        </w:tc>
        <w:tc>
          <w:tcPr>
            <w:tcW w:w="9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867</w:t>
            </w:r>
          </w:p>
        </w:tc>
      </w:tr>
      <w:tr>
        <w:trPr>
          <w:trHeight w:val="208"/>
        </w:trPr>
        <w:tc>
          <w:tcPr>
            <w:tcW w:w="8180" w:type="dxa"/>
            <w:vAlign w:val="bottom"/>
          </w:tcPr>
          <w:p>
            <w:pPr>
              <w:ind w:left="440"/>
              <w:spacing w:after="0"/>
              <w:rPr>
                <w:sz w:val="20"/>
                <w:szCs w:val="20"/>
                <w:color w:val="auto"/>
              </w:rPr>
            </w:pPr>
            <w:r>
              <w:rPr>
                <w:rFonts w:ascii="Arial" w:cs="Arial" w:eastAsia="Arial" w:hAnsi="Arial"/>
                <w:sz w:val="14"/>
                <w:szCs w:val="14"/>
                <w:color w:val="auto"/>
              </w:rPr>
              <w:t>Accrued expenses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1,094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874</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Gift card and loyalty program liability</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w:t>
            </w:r>
          </w:p>
        </w:tc>
      </w:tr>
      <w:tr>
        <w:trPr>
          <w:trHeight w:val="208"/>
        </w:trPr>
        <w:tc>
          <w:tcPr>
            <w:tcW w:w="8180" w:type="dxa"/>
            <w:vAlign w:val="bottom"/>
          </w:tcPr>
          <w:p>
            <w:pPr>
              <w:ind w:left="440"/>
              <w:spacing w:after="0"/>
              <w:rPr>
                <w:sz w:val="20"/>
                <w:szCs w:val="20"/>
                <w:color w:val="auto"/>
              </w:rPr>
            </w:pPr>
            <w:r>
              <w:rPr>
                <w:rFonts w:ascii="Arial" w:cs="Arial" w:eastAsia="Arial" w:hAnsi="Arial"/>
                <w:sz w:val="14"/>
                <w:szCs w:val="14"/>
                <w:color w:val="auto"/>
              </w:rPr>
              <w:t>Operating lease liabilities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518</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03"/>
        </w:trPr>
        <w:tc>
          <w:tcPr>
            <w:tcW w:w="81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9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6,791</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3,433</w:t>
            </w:r>
          </w:p>
        </w:tc>
      </w:tr>
      <w:tr>
        <w:trPr>
          <w:trHeight w:val="222"/>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7"/>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Purchases of property and equipment</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(16,209)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(6,510)</w:t>
            </w:r>
          </w:p>
        </w:tc>
      </w:tr>
      <w:tr>
        <w:trPr>
          <w:trHeight w:val="208"/>
        </w:trPr>
        <w:tc>
          <w:tcPr>
            <w:tcW w:w="8180" w:type="dxa"/>
            <w:vAlign w:val="bottom"/>
          </w:tcPr>
          <w:p>
            <w:pPr>
              <w:ind w:left="180"/>
              <w:spacing w:after="0"/>
              <w:rPr>
                <w:sz w:val="20"/>
                <w:szCs w:val="20"/>
                <w:color w:val="auto"/>
              </w:rPr>
            </w:pPr>
            <w:r>
              <w:rPr>
                <w:rFonts w:ascii="Arial" w:cs="Arial" w:eastAsia="Arial" w:hAnsi="Arial"/>
                <w:sz w:val="14"/>
                <w:szCs w:val="14"/>
                <w:color w:val="auto"/>
              </w:rPr>
              <w:t>Purchase of intangible assets</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Payments of initial direct costs for operating leases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1"/>
        </w:trPr>
        <w:tc>
          <w:tcPr>
            <w:tcW w:w="8180" w:type="dxa"/>
            <w:vAlign w:val="bottom"/>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(16,525)</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(6,548)</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08"/>
        </w:trPr>
        <w:tc>
          <w:tcPr>
            <w:tcW w:w="8180" w:type="dxa"/>
            <w:vAlign w:val="bottom"/>
          </w:tcPr>
          <w:p>
            <w:pPr>
              <w:ind w:left="260"/>
              <w:spacing w:after="0"/>
              <w:rPr>
                <w:sz w:val="20"/>
                <w:szCs w:val="20"/>
                <w:color w:val="auto"/>
              </w:rPr>
            </w:pPr>
            <w:r>
              <w:rPr>
                <w:rFonts w:ascii="Arial" w:cs="Arial" w:eastAsia="Arial" w:hAnsi="Arial"/>
                <w:sz w:val="14"/>
                <w:szCs w:val="14"/>
                <w:color w:val="auto"/>
              </w:rPr>
              <w:t>Proceeds from long-term debt</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10,000</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9"/>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Payments on long-term debt</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r>
      <w:tr>
        <w:trPr>
          <w:trHeight w:val="208"/>
        </w:trPr>
        <w:tc>
          <w:tcPr>
            <w:tcW w:w="8180" w:type="dxa"/>
            <w:vAlign w:val="bottom"/>
          </w:tcPr>
          <w:p>
            <w:pPr>
              <w:ind w:left="260"/>
              <w:spacing w:after="0"/>
              <w:rPr>
                <w:sz w:val="20"/>
                <w:szCs w:val="20"/>
                <w:color w:val="auto"/>
              </w:rPr>
            </w:pPr>
            <w:r>
              <w:rPr>
                <w:rFonts w:ascii="Arial" w:cs="Arial" w:eastAsia="Arial" w:hAnsi="Arial"/>
                <w:sz w:val="14"/>
                <w:szCs w:val="14"/>
                <w:color w:val="auto"/>
              </w:rPr>
              <w:t>Payments of debt issuance costs and loan fees</w:t>
            </w:r>
          </w:p>
        </w:tc>
        <w:tc>
          <w:tcPr>
            <w:tcW w:w="9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Net cash provided by financing activities</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9,644</w:t>
            </w:r>
          </w:p>
        </w:tc>
      </w:tr>
      <w:tr>
        <w:trPr>
          <w:trHeight w:val="202"/>
        </w:trPr>
        <w:tc>
          <w:tcPr>
            <w:tcW w:w="8180" w:type="dxa"/>
            <w:vAlign w:val="bottom"/>
          </w:tcPr>
          <w:p>
            <w:pPr>
              <w:ind w:left="600"/>
              <w:spacing w:after="0"/>
              <w:rPr>
                <w:sz w:val="20"/>
                <w:szCs w:val="20"/>
                <w:color w:val="auto"/>
              </w:rPr>
            </w:pPr>
            <w:r>
              <w:rPr>
                <w:rFonts w:ascii="Arial" w:cs="Arial" w:eastAsia="Arial" w:hAnsi="Arial"/>
                <w:sz w:val="14"/>
                <w:szCs w:val="14"/>
                <w:color w:val="auto"/>
              </w:rPr>
              <w:t>Net increase (decrease) in cash and cash equivalents</w:t>
            </w:r>
          </w:p>
        </w:tc>
        <w:tc>
          <w:tcPr>
            <w:tcW w:w="9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(8,388)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6,529</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3"/>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90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28,406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10,227</w:t>
            </w:r>
          </w:p>
        </w:tc>
      </w:tr>
      <w:tr>
        <w:trPr>
          <w:trHeight w:val="223"/>
        </w:trPr>
        <w:tc>
          <w:tcPr>
            <w:tcW w:w="818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900" w:type="dxa"/>
            <w:vAlign w:val="bottom"/>
            <w:tcBorders>
              <w:top w:val="single" w:sz="8" w:color="auto"/>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20,018</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16,756</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08"/>
        </w:trPr>
        <w:tc>
          <w:tcPr>
            <w:tcW w:w="8180" w:type="dxa"/>
            <w:vAlign w:val="bottom"/>
          </w:tcPr>
          <w:p>
            <w:pPr>
              <w:ind w:left="260"/>
              <w:spacing w:after="0"/>
              <w:rPr>
                <w:sz w:val="20"/>
                <w:szCs w:val="20"/>
                <w:color w:val="auto"/>
              </w:rPr>
            </w:pPr>
            <w:r>
              <w:rPr>
                <w:rFonts w:ascii="Arial" w:cs="Arial" w:eastAsia="Arial" w:hAnsi="Arial"/>
                <w:sz w:val="14"/>
                <w:szCs w:val="14"/>
                <w:color w:val="auto"/>
              </w:rPr>
              <w:t>Cash paid during the year for interest, net of capitalized interest</w:t>
            </w:r>
          </w:p>
        </w:tc>
        <w:tc>
          <w:tcPr>
            <w:tcW w:w="90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2,457</w:t>
            </w:r>
          </w:p>
        </w:tc>
      </w:tr>
      <w:tr>
        <w:trPr>
          <w:trHeight w:val="22"/>
        </w:trPr>
        <w:tc>
          <w:tcPr>
            <w:tcW w:w="8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Income taxes paid, net of refunds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7"/>
        </w:trPr>
        <w:tc>
          <w:tcPr>
            <w:tcW w:w="8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Property and equipment accrued in accounts payable and accrued expenses</w:t>
            </w:r>
          </w:p>
        </w:tc>
        <w:tc>
          <w:tcPr>
            <w:tcW w:w="9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w:t>
            </w:r>
          </w:p>
        </w:tc>
      </w:tr>
      <w:tr>
        <w:trPr>
          <w:trHeight w:val="208"/>
        </w:trPr>
        <w:tc>
          <w:tcPr>
            <w:tcW w:w="8180" w:type="dxa"/>
            <w:vAlign w:val="bottom"/>
          </w:tcPr>
          <w:p>
            <w:pPr>
              <w:ind w:left="260"/>
              <w:spacing w:after="0"/>
              <w:rPr>
                <w:sz w:val="20"/>
                <w:szCs w:val="20"/>
                <w:color w:val="auto"/>
              </w:rPr>
            </w:pPr>
            <w:r>
              <w:rPr>
                <w:rFonts w:ascii="Arial" w:cs="Arial" w:eastAsia="Arial" w:hAnsi="Arial"/>
                <w:sz w:val="14"/>
                <w:szCs w:val="14"/>
                <w:color w:val="auto"/>
              </w:rPr>
              <w:t>Noncash recognition of finance obligations</w:t>
            </w:r>
          </w:p>
        </w:tc>
        <w:tc>
          <w:tcPr>
            <w:tcW w:w="9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76"/>
        </w:trPr>
        <w:tc>
          <w:tcPr>
            <w:tcW w:w="8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 Organization and Nature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56"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Black Rock Coffee Bar, Inc. was organized as a Delaware corporation on May 2, 2025, and in June 2025 re-domiciled to be incorporated in Texas for the purpose of facilitating an initial public offering (the "IPO") and other related transactions in order to carry on the business of Black Rock Coffee Holdings, LLC ("Black Rock OpCo") and its consolidated subsidiaries (together with Black Rock Coffee Bar, Inc., the "Company") as a publicly-traded entity.</w:t>
      </w:r>
    </w:p>
    <w:p>
      <w:pPr>
        <w:spacing w:after="0" w:line="9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The Company is a high-growth operator of guest-centric, drive-thru and lobby coffee bars offering premium caffeinated beverages and an elevated in-store experience. As of March 31, 2026, there were 190 stores operating in seven U.S. states.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5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Black Rock Coffee Bar, Inc. successfully closed an IPO of 16,911,764 shares of Class A common stock at a public offering price of $20.00 per share on September 15, 2025, which included 2,205,882 shares of Class A common stock issued pursuant to the underwriters' option to purchase additional shares of Class A common stock. The net proceeds from the IPO aggregated to approximately $306.5 million, after deducting underwriting discounts and commissions and expenses payable in connection with the offering. Shares of Class A common stock began trading on the Nasdaq under the ticker symbol "BRCB" on September 12, 2025.</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Black Rock OpCo amended and restated its existing limited liability company agreement, to among other things,</w:t>
      </w:r>
    </w:p>
    <w:p>
      <w:pPr>
        <w:spacing w:after="0" w:line="27" w:lineRule="exact"/>
        <w:rPr>
          <w:sz w:val="20"/>
          <w:szCs w:val="20"/>
          <w:color w:val="auto"/>
        </w:rPr>
      </w:pPr>
    </w:p>
    <w:p>
      <w:pPr>
        <w:ind w:right="60" w:firstLine="8"/>
        <w:spacing w:after="0" w:line="255" w:lineRule="auto"/>
        <w:tabs>
          <w:tab w:leader="none" w:pos="21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recapitalize all existing ownership interests in Black Rock OpCo into 43,079,227 membership units of Black Rock OpCo (" LLC Units") (before giving effect to the use of proceeds from the IPO, as described below ), (ii) appoint Black Rock Coffee Bar, Inc. as the sole managing member of Black Rock OpCo, and (iii) provide certain redemption rights to the owners of the LLC Units in Black Rock OpCo, exclusive of the Company (the "Continuing Equity Owners").</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Simultaneously, Black Rock Coffee Bar, Inc. amended and restated its certificate of formation to, among other things, provide (i) for Class A common stock, with each share of Class A common stock entitling its holder to one vote per share on all matters presented to the shareholders generally; (ii) for Class B common stock, with each share of Class B common stock entitling its holder to one vote per share on all matters presented to the shareholders generally; (iii) for Class C common stock, with each share of Class C common stock entitling its holder to ten votes per share on all matters presented to the shareholders generally, until the earlier of (a) September 15, 2035, and (b) with respect to each Co-Founder ("Co-Founder" refers to each of Daniel Brand, Jeff Hernandez, Jake Spellmeyer or Bryan Pereboom), the date on which the aggregate number of shares of Class C common stock held by such Co-Founder or certain of their affiliates is less than thirty-three percent (33%) of the shares of Class C common stock held by such Co-Founder and certain of their affiliates as of the closing of the IPO, each such holders' Class C common stock will convert to fully paid non-assessable shares of Class B common stock; (iv) that shares of Class B and Class C common stock may only be held by the Continuing Equity Owners and their respective permitted transferees; and (v) for preferred stock, which can be issued by the board of directors in one or more series without shareholder approval. As a result, Black Rock Coffee Bar, Inc. became a holding company and the sole managing member of Black Rock OpCo and controls the business affairs of Black Rock OpCo.</w:t>
      </w:r>
    </w:p>
    <w:p>
      <w:pPr>
        <w:spacing w:after="0" w:line="12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Concurrently with the consummation of the IPO, an affiliate of the Company's Co-Founders purchased 3,118,938 newly issued LLC Units (and corresponding shares of the Company's Class C common stock) from Black Rock OpCo for approximately $62.4 million at a price per unit equal to $20.00 per share (the "IPO price"). Further, Black Rock Coffee Bar, Inc. used the net proceeds from the IPO to: (i) purchase 3,857,642 newly issued LLC Units for approximately $ 71.8 million directly from Black Rock OpCo at a price per unit equal to the IPO price of Class A common stock less the underwriting discount; and (ii) purchase 13,054,122 LLC Units from certain Continuing Equity Owners for approximately $242.8 million at a price per unit equal to the IPO price per share of Class A common stock less the underwriting discount.</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 Basis of Presentation and Summary of Significant Accounting Policies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accordance with accounting principles generally accepted in the United States of America ("GAAP"), since the Continuing Equity Owners control the Company after the Transactions (i.e., there was no change in control of Black Rock OpCo), the financial statements of the combined entity represent a continuation of the financial position and results of operations of Black Rock OpCo. Accordingly, the historical cost basis of assets, liabilities, and equity of Black Rock OpCo are carried over to the condensed consolidated financial statements of the combined company as a common control transaction.</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unaudited condensed consolidated financial statements for the periods prior to the</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Transactions have been presented to combine the previously separate entities. These unaudited condensed and consolidated financial statements have been prepared in accordance with GAAP and the applicable rules and regulations of the United States Securities and Exchange Commission ("SEC") for interim financial information. Certain information and footnote disclosures normally included in annual financial statements presented in accordance with GAAP have been omitted pursuant to rules and regulations of the SEC. In the opinion of management, all adjustments (consisting of normal recurring adjustments) considered necessary for a fair statement of the results for the interim periods presented have been included.</w:t>
      </w:r>
    </w:p>
    <w:p>
      <w:pPr>
        <w:spacing w:after="0" w:line="11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unaudited interim financial information should be read in conjunction with the audited consolidated financial statements contained in the Company's Annual Report on Form 10-K for the year ended December 31, 2025 filed with the SEC on March 4, 2026.</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Black Rock Coffee Bar, Inc. and Black Rock OpCo. Black Rock OpCo is a variable interest entity and Black Rock Coffee Bar, Inc. is the primary beneficiary and sole managing member of Black Rock OpCo and has decision making authority that significantly affects the performance of the entity. Accordingly, the Company consolidates Black Rock OpCo and reports noncontrolling interest representing the economic interest in Black Rock OpCo held by the Continuing Equity Owners. All intercompany balances and transactions have been eliminated in consolidation.</w:t>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noncontrolling interests in the condensed consolidated statement of operations for the three months ended March 31, 2026 represents the portion of earnings attributable to the economic interest in Black Rock OpCo held by the Continuing Equity Owners. The noncontrolling interest in the condensed consolidated balance sheets as of March 31, 2026 represents the portion of the net assets of the Company attributable to the Continuing Equity Owners, based on the portion of the LLC Units owned by such unit holders. As of March 31, 2026, the noncontrolling interest holders' economic ownership percentage was 63.9%.</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2026 and 2025, three suppliers accounted for approximately 91% and 93% of purchases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 Update</w:t>
      </w:r>
    </w:p>
    <w:p>
      <w:pPr>
        <w:spacing w:after="0" w:line="15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There have been no material updates to the Company's significant accounting policies during the three months ended March 31, 2026 from those previously reported in the Company's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Under the Jumpstart Our Business Startups Act of 2012 (the "JOBS Act"), the Company meets the definition of an emerging growth company.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Company is no longer an emerging growth company or until the Company affirmatively and irrevocably opts out of the extended transition period. As a result, the Company's financial statements may not be comparable to companies that comply with new or revised accounting pronouncements as of public company effective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4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In December 2023, the Financial Accounting Standards Board (“FASB”) issued Accounting Standard Update (“ASU”) No. 2023-09, </w:t>
      </w:r>
      <w:r>
        <w:rPr>
          <w:rFonts w:ascii="Arial" w:cs="Arial" w:eastAsia="Arial" w:hAnsi="Arial"/>
          <w:sz w:val="18"/>
          <w:szCs w:val="18"/>
          <w:i w:val="1"/>
          <w:iCs w:val="1"/>
          <w:color w:val="auto"/>
        </w:rPr>
        <w:t>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 (Topic 740): Improvements to Income Tax Disclosures</w:t>
      </w:r>
      <w:r>
        <w:rPr>
          <w:rFonts w:ascii="Arial" w:cs="Arial" w:eastAsia="Arial" w:hAnsi="Arial"/>
          <w:sz w:val="18"/>
          <w:szCs w:val="18"/>
          <w:color w:val="auto"/>
        </w:rPr>
        <w:t>. The amendments in the update are intended to enhance the transparency and</w:t>
      </w:r>
      <w:r>
        <w:rPr>
          <w:rFonts w:ascii="Arial" w:cs="Arial" w:eastAsia="Arial" w:hAnsi="Arial"/>
          <w:sz w:val="18"/>
          <w:szCs w:val="18"/>
          <w:i w:val="1"/>
          <w:iCs w:val="1"/>
          <w:color w:val="auto"/>
        </w:rPr>
        <w:t xml:space="preserve"> </w:t>
      </w:r>
      <w:r>
        <w:rPr>
          <w:rFonts w:ascii="Arial" w:cs="Arial" w:eastAsia="Arial" w:hAnsi="Arial"/>
          <w:sz w:val="18"/>
          <w:szCs w:val="18"/>
          <w:color w:val="auto"/>
        </w:rPr>
        <w:t>decision usefulness of income tax disclosures, primarily through improvements to the rate reconciliation and income taxes paid information, specifically requiring (1) consistent categories and greater disaggregation of information in the rate reconciliation, and (2) income taxes paid disaggregated by jurisdiction. These amendments are effective for public business entities’ annual periods beginning after December 15, 2024 and interim periods within fiscal years beginning after December 15, 2025. Furthermore, these amendments are effective for private business entities' annual periods beginning after December 15, 2025 and interim periods within fiscal years beginning after December 15, 2026. The application of these amendments should be applied on a prospective basis. Early adoption is permitted for annual financial statements that have not yet been issued. The Company is currently assessing the potential impacts of this standard on its income tax disclosures and expects to provide additional detail and disclosures under the new guidance.</w:t>
      </w:r>
    </w:p>
    <w:p>
      <w:pPr>
        <w:spacing w:after="0" w:line="118" w:lineRule="exact"/>
        <w:rPr>
          <w:sz w:val="20"/>
          <w:szCs w:val="20"/>
          <w:color w:val="auto"/>
        </w:rPr>
      </w:pPr>
    </w:p>
    <w:p>
      <w:pPr>
        <w:jc w:val="both"/>
        <w:ind w:right="220"/>
        <w:spacing w:after="0" w:line="272" w:lineRule="auto"/>
        <w:rPr>
          <w:sz w:val="20"/>
          <w:szCs w:val="20"/>
          <w:color w:val="auto"/>
        </w:rPr>
      </w:pPr>
      <w:r>
        <w:rPr>
          <w:rFonts w:ascii="Arial" w:cs="Arial" w:eastAsia="Arial" w:hAnsi="Arial"/>
          <w:sz w:val="17"/>
          <w:szCs w:val="17"/>
          <w:color w:val="auto"/>
        </w:rPr>
        <w:t xml:space="preserve">In November 2024, the FASB issued ASU No. 2024-03, </w:t>
      </w:r>
      <w:r>
        <w:rPr>
          <w:rFonts w:ascii="Arial" w:cs="Arial" w:eastAsia="Arial" w:hAnsi="Arial"/>
          <w:sz w:val="17"/>
          <w:szCs w:val="17"/>
          <w:i w:val="1"/>
          <w:iCs w:val="1"/>
          <w:color w:val="auto"/>
        </w:rPr>
        <w:t>Income Statement – Reporting Comprehensive Income – Expense Disaggregation</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(Subtopic 220-40)</w:t>
      </w:r>
      <w:r>
        <w:rPr>
          <w:rFonts w:ascii="Arial" w:cs="Arial" w:eastAsia="Arial" w:hAnsi="Arial"/>
          <w:sz w:val="17"/>
          <w:szCs w:val="17"/>
          <w:color w:val="auto"/>
        </w:rPr>
        <w:t>. The intent of this ASU is to improve public entity financial footnote disclosures around types of expenses in</w:t>
      </w:r>
      <w:r>
        <w:rPr>
          <w:rFonts w:ascii="Arial" w:cs="Arial" w:eastAsia="Arial" w:hAnsi="Arial"/>
          <w:sz w:val="17"/>
          <w:szCs w:val="17"/>
          <w:i w:val="1"/>
          <w:iCs w:val="1"/>
          <w:color w:val="auto"/>
        </w:rPr>
        <w:t xml:space="preserve"> </w:t>
      </w:r>
      <w:r>
        <w:rPr>
          <w:rFonts w:ascii="Arial" w:cs="Arial" w:eastAsia="Arial" w:hAnsi="Arial"/>
          <w:sz w:val="17"/>
          <w:szCs w:val="17"/>
          <w:color w:val="auto"/>
        </w:rPr>
        <w:t>commonly presented expense categories (i.e. cost of sales, selling, general and administrative expenses, and research and development).</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amendments in this ASU do not change or remove current expense disclosure requirements, but rather 1) impact where this information appears in the notes to the consolidated financial statements and 2) add additional disclosure requirements for certain expense line items appearing on the face of the consolidated statement of operations. ASU 2024-03, as amended, is effective for annual reporting periods beginning after December 15, 2026, and interim reporting periods beginning after December 15, 2027. Early adoption is permitted. The Company will assess potential impacts of this standard on its disclosures in future periods.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34925</wp:posOffset>
            </wp:positionV>
            <wp:extent cx="22371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55,384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44,774</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
        </w:trPr>
        <w:tc>
          <w:tcPr>
            <w:tcW w:w="7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44,820</w:t>
            </w:r>
          </w:p>
        </w:tc>
      </w:tr>
      <w:tr>
        <w:trPr>
          <w:trHeight w:val="54"/>
        </w:trPr>
        <w:tc>
          <w:tcPr>
            <w:tcW w:w="77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gift card and loyalty program liability activity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34925</wp:posOffset>
            </wp:positionV>
            <wp:extent cx="22371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center"/>
              <w:ind w:left="630"/>
              <w:spacing w:after="0"/>
              <w:rPr>
                <w:sz w:val="20"/>
                <w:szCs w:val="20"/>
                <w:color w:val="auto"/>
              </w:rPr>
            </w:pPr>
            <w:r>
              <w:rPr>
                <w:rFonts w:ascii="Arial" w:cs="Arial" w:eastAsia="Arial" w:hAnsi="Arial"/>
                <w:sz w:val="18"/>
                <w:szCs w:val="18"/>
                <w:color w:val="auto"/>
              </w:rPr>
              <w:t>2,126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Revenue deferred - card activations and rewards earned</w:t>
            </w:r>
          </w:p>
        </w:tc>
        <w:tc>
          <w:tcPr>
            <w:tcW w:w="380" w:type="dxa"/>
            <w:vAlign w:val="bottom"/>
          </w:tcPr>
          <w:p>
            <w:pPr>
              <w:spacing w:after="0"/>
              <w:rPr>
                <w:sz w:val="21"/>
                <w:szCs w:val="21"/>
                <w:color w:val="auto"/>
              </w:rPr>
            </w:pPr>
          </w:p>
        </w:tc>
        <w:tc>
          <w:tcPr>
            <w:tcW w:w="1340" w:type="dxa"/>
            <w:vAlign w:val="bottom"/>
          </w:tcPr>
          <w:p>
            <w:pPr>
              <w:jc w:val="center"/>
              <w:ind w:left="630"/>
              <w:spacing w:after="0"/>
              <w:rPr>
                <w:sz w:val="20"/>
                <w:szCs w:val="20"/>
                <w:color w:val="auto"/>
              </w:rPr>
            </w:pPr>
            <w:r>
              <w:rPr>
                <w:rFonts w:ascii="Arial" w:cs="Arial" w:eastAsia="Arial" w:hAnsi="Arial"/>
                <w:sz w:val="18"/>
                <w:szCs w:val="18"/>
                <w:color w:val="auto"/>
              </w:rPr>
              <w:t>3,723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3,597</w:t>
            </w:r>
          </w:p>
        </w:tc>
      </w:tr>
      <w:tr>
        <w:trPr>
          <w:trHeight w:val="23"/>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 card and rewards redemptions and breakage</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center"/>
              <w:ind w:left="610"/>
              <w:spacing w:after="0"/>
              <w:rPr>
                <w:sz w:val="20"/>
                <w:szCs w:val="20"/>
                <w:color w:val="auto"/>
              </w:rPr>
            </w:pPr>
            <w:r>
              <w:rPr>
                <w:rFonts w:ascii="Arial" w:cs="Arial" w:eastAsia="Arial" w:hAnsi="Arial"/>
                <w:sz w:val="18"/>
                <w:szCs w:val="18"/>
                <w:color w:val="auto"/>
                <w:w w:val="98"/>
              </w:rPr>
              <w:t>(3,982)</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r>
      <w:tr>
        <w:trPr>
          <w:trHeight w:val="241"/>
        </w:trPr>
        <w:tc>
          <w:tcPr>
            <w:tcW w:w="772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center"/>
              <w:ind w:left="630"/>
              <w:spacing w:after="0"/>
              <w:rPr>
                <w:sz w:val="20"/>
                <w:szCs w:val="20"/>
                <w:color w:val="auto"/>
              </w:rPr>
            </w:pPr>
            <w:r>
              <w:rPr>
                <w:rFonts w:ascii="Arial" w:cs="Arial" w:eastAsia="Arial" w:hAnsi="Arial"/>
                <w:sz w:val="18"/>
                <w:szCs w:val="18"/>
                <w:color w:val="auto"/>
              </w:rPr>
              <w:t>1,867</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r>
      <w:tr>
        <w:trPr>
          <w:trHeight w:val="77"/>
        </w:trPr>
        <w:tc>
          <w:tcPr>
            <w:tcW w:w="77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 Supplemental Balance Sheet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Receivables, net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2026</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2025</w:t>
            </w:r>
          </w:p>
        </w:tc>
      </w:tr>
      <w:tr>
        <w:trPr>
          <w:trHeight w:val="250"/>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Tenant improvement allowance receivables</w:t>
            </w: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3,285</w:t>
            </w: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
        </w:trPr>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2,686</w:t>
            </w:r>
          </w:p>
        </w:tc>
        <w:tc>
          <w:tcPr>
            <w:tcW w:w="8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3,450</w:t>
            </w:r>
          </w:p>
        </w:tc>
      </w:tr>
      <w:tr>
        <w:trPr>
          <w:trHeight w:val="77"/>
        </w:trPr>
        <w:tc>
          <w:tcPr>
            <w:tcW w:w="61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443"/>
        </w:trPr>
        <w:tc>
          <w:tcPr>
            <w:tcW w:w="6140" w:type="dxa"/>
            <w:vAlign w:val="bottom"/>
          </w:tcPr>
          <w:p>
            <w:pPr>
              <w:spacing w:after="0"/>
              <w:rPr>
                <w:sz w:val="20"/>
                <w:szCs w:val="20"/>
                <w:color w:val="auto"/>
              </w:rPr>
            </w:pPr>
            <w:r>
              <w:rPr>
                <w:rFonts w:ascii="Arial" w:cs="Arial" w:eastAsia="Arial" w:hAnsi="Arial"/>
                <w:sz w:val="18"/>
                <w:szCs w:val="18"/>
                <w:color w:val="auto"/>
              </w:rPr>
              <w:t>The components of Inventories were as follows: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9"/>
        </w:trPr>
        <w:tc>
          <w:tcPr>
            <w:tcW w:w="6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spacing w:after="0"/>
              <w:rPr>
                <w:sz w:val="15"/>
                <w:szCs w:val="15"/>
                <w:color w:val="auto"/>
              </w:rPr>
            </w:pPr>
          </w:p>
        </w:tc>
        <w:tc>
          <w:tcPr>
            <w:tcW w:w="1720" w:type="dxa"/>
            <w:vAlign w:val="bottom"/>
            <w:tcBorders>
              <w:bottom w:val="single" w:sz="8" w:color="auto"/>
            </w:tcBorders>
            <w:gridSpan w:val="2"/>
          </w:tcPr>
          <w:p>
            <w:pPr>
              <w:spacing w:after="0"/>
              <w:rPr>
                <w:sz w:val="15"/>
                <w:szCs w:val="15"/>
                <w:color w:val="auto"/>
              </w:rPr>
            </w:pPr>
          </w:p>
        </w:tc>
      </w:tr>
      <w:tr>
        <w:trPr>
          <w:trHeight w:val="263"/>
        </w:trPr>
        <w:tc>
          <w:tcPr>
            <w:tcW w:w="614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2026</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2025</w:t>
            </w:r>
          </w:p>
        </w:tc>
      </w:tr>
      <w:tr>
        <w:trPr>
          <w:trHeight w:val="250"/>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Coffee beans and product inventory</w:t>
            </w:r>
          </w:p>
        </w:tc>
        <w:tc>
          <w:tcPr>
            <w:tcW w:w="1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2,478</w:t>
            </w: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Merchandise and supplies</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
        </w:trPr>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3,256</w:t>
            </w:r>
          </w:p>
        </w:tc>
        <w:tc>
          <w:tcPr>
            <w:tcW w:w="8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2,898</w:t>
            </w:r>
          </w:p>
        </w:tc>
      </w:tr>
      <w:tr>
        <w:trPr>
          <w:trHeight w:val="77"/>
        </w:trPr>
        <w:tc>
          <w:tcPr>
            <w:tcW w:w="61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443"/>
        </w:trPr>
        <w:tc>
          <w:tcPr>
            <w:tcW w:w="6140" w:type="dxa"/>
            <w:vAlign w:val="bottom"/>
          </w:tcPr>
          <w:p>
            <w:pPr>
              <w:spacing w:after="0"/>
              <w:rPr>
                <w:sz w:val="20"/>
                <w:szCs w:val="20"/>
                <w:color w:val="auto"/>
              </w:rPr>
            </w:pPr>
            <w:r>
              <w:rPr>
                <w:rFonts w:ascii="Arial" w:cs="Arial" w:eastAsia="Arial" w:hAnsi="Arial"/>
                <w:sz w:val="18"/>
                <w:szCs w:val="18"/>
                <w:color w:val="auto"/>
              </w:rPr>
              <w:t>The components of Property and equipment, net were as follows: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8"/>
        </w:trPr>
        <w:tc>
          <w:tcPr>
            <w:tcW w:w="6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r>
      <w:tr>
        <w:trPr>
          <w:trHeight w:val="224"/>
        </w:trPr>
        <w:tc>
          <w:tcPr>
            <w:tcW w:w="6140" w:type="dxa"/>
            <w:vAlign w:val="bottom"/>
          </w:tcPr>
          <w:p>
            <w:pPr>
              <w:spacing w:after="0"/>
              <w:rPr>
                <w:sz w:val="19"/>
                <w:szCs w:val="19"/>
                <w:color w:val="auto"/>
              </w:rPr>
            </w:pP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Estimated</w:t>
            </w: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55"/>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Useful Lives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March 31, 2026</w:t>
            </w:r>
          </w:p>
        </w:tc>
        <w:tc>
          <w:tcPr>
            <w:tcW w:w="80" w:type="dxa"/>
            <w:vAlign w:val="bottom"/>
            <w:tcBorders>
              <w:bottom w:val="single" w:sz="8" w:color="CCEEFF"/>
            </w:tcBorders>
          </w:tcPr>
          <w:p>
            <w:pPr>
              <w:spacing w:after="0"/>
              <w:rPr>
                <w:sz w:val="22"/>
                <w:szCs w:val="22"/>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2025</w:t>
            </w: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equipment</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3-7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35,366</w:t>
            </w: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7-15 years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61,836</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58,688</w:t>
            </w:r>
          </w:p>
        </w:tc>
      </w:tr>
      <w:tr>
        <w:trPr>
          <w:trHeight w:val="23"/>
        </w:trPr>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15-39 years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16,103</w:t>
            </w: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rPr>
              <w:t>5-7 years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12,074</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11,388</w:t>
            </w:r>
          </w:p>
        </w:tc>
      </w:tr>
      <w:tr>
        <w:trPr>
          <w:trHeight w:val="23"/>
        </w:trPr>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Vehicles</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5-7 years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w:t>
            </w: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Software</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rPr>
              <w:t>5 years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3"/>
        </w:trPr>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15,832</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13,789</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Property and equipment, gross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149,786</w:t>
            </w:r>
          </w:p>
        </w:tc>
        <w:tc>
          <w:tcPr>
            <w:tcW w:w="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136,055</w:t>
            </w:r>
          </w:p>
        </w:tc>
      </w:tr>
      <w:tr>
        <w:trPr>
          <w:trHeight w:val="23"/>
        </w:trPr>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(37,809)</w:t>
            </w:r>
          </w:p>
        </w:tc>
        <w:tc>
          <w:tcPr>
            <w:tcW w:w="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(34,848)</w:t>
            </w:r>
          </w:p>
        </w:tc>
      </w:tr>
      <w:tr>
        <w:trPr>
          <w:trHeight w:val="240"/>
        </w:trPr>
        <w:tc>
          <w:tcPr>
            <w:tcW w:w="61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111,977</w:t>
            </w:r>
          </w:p>
        </w:tc>
        <w:tc>
          <w:tcPr>
            <w:tcW w:w="8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101,207</w:t>
            </w:r>
          </w:p>
        </w:tc>
      </w:tr>
      <w:tr>
        <w:trPr>
          <w:trHeight w:val="77"/>
        </w:trPr>
        <w:tc>
          <w:tcPr>
            <w:tcW w:w="614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bl>
    <w:p>
      <w:pPr>
        <w:spacing w:after="0" w:line="116"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Depreciation expense was approximately $3.0 million and $2.4 million for the three months ended March 31, 2026 and 2025, respectively, and is included in operating expenses in the condensed consolidated statements of operations.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intangible assets that are being amortized over 3 to 15 years consisting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7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22"/>
                <w:szCs w:val="22"/>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2026</w:t>
            </w:r>
          </w:p>
        </w:tc>
        <w:tc>
          <w:tcPr>
            <w:tcW w:w="1720" w:type="dxa"/>
            <w:vAlign w:val="bottom"/>
            <w:gridSpan w:val="2"/>
          </w:tcPr>
          <w:p>
            <w:pPr>
              <w:jc w:val="right"/>
              <w:spacing w:after="0"/>
              <w:rPr>
                <w:sz w:val="20"/>
                <w:szCs w:val="20"/>
                <w:color w:val="auto"/>
              </w:rPr>
            </w:pPr>
            <w:r>
              <w:rPr>
                <w:rFonts w:ascii="Arial" w:cs="Arial" w:eastAsia="Arial" w:hAnsi="Arial"/>
                <w:sz w:val="18"/>
                <w:szCs w:val="18"/>
                <w:b w:val="1"/>
                <w:bCs w:val="1"/>
                <w:color w:val="auto"/>
              </w:rPr>
              <w:t>December 31, 2025</w:t>
            </w:r>
          </w:p>
        </w:tc>
      </w:tr>
      <w:tr>
        <w:trPr>
          <w:trHeight w:val="250"/>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Reacquired franchise rights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13,504</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3,389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3,389</w:t>
            </w:r>
          </w:p>
        </w:tc>
      </w:tr>
      <w:tr>
        <w:trPr>
          <w:trHeight w:val="23"/>
        </w:trPr>
        <w:tc>
          <w:tcPr>
            <w:tcW w:w="7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(11,577)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(11,085)</w:t>
            </w:r>
          </w:p>
        </w:tc>
      </w:tr>
      <w:tr>
        <w:trPr>
          <w:trHeight w:val="241"/>
        </w:trPr>
        <w:tc>
          <w:tcPr>
            <w:tcW w:w="7720" w:type="dxa"/>
            <w:vAlign w:val="bottom"/>
          </w:tcPr>
          <w:p>
            <w:pPr>
              <w:ind w:left="20"/>
              <w:spacing w:after="0"/>
              <w:rPr>
                <w:sz w:val="20"/>
                <w:szCs w:val="20"/>
                <w:color w:val="auto"/>
              </w:rPr>
            </w:pPr>
            <w:r>
              <w:rPr>
                <w:rFonts w:ascii="Arial" w:cs="Arial" w:eastAsia="Arial" w:hAnsi="Arial"/>
                <w:sz w:val="18"/>
                <w:szCs w:val="18"/>
                <w:color w:val="auto"/>
              </w:rPr>
              <w:t>Total intangible assets,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5,808</w:t>
            </w:r>
          </w:p>
        </w:tc>
      </w:tr>
      <w:tr>
        <w:trPr>
          <w:trHeight w:val="77"/>
        </w:trPr>
        <w:tc>
          <w:tcPr>
            <w:tcW w:w="77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r>
        <w:trPr>
          <w:trHeight w:val="443"/>
        </w:trPr>
        <w:tc>
          <w:tcPr>
            <w:tcW w:w="7720" w:type="dxa"/>
            <w:vAlign w:val="bottom"/>
          </w:tcPr>
          <w:p>
            <w:pPr>
              <w:spacing w:after="0"/>
              <w:rPr>
                <w:sz w:val="20"/>
                <w:szCs w:val="20"/>
                <w:color w:val="auto"/>
              </w:rPr>
            </w:pPr>
            <w:r>
              <w:rPr>
                <w:rFonts w:ascii="Arial" w:cs="Arial" w:eastAsia="Arial" w:hAnsi="Arial"/>
                <w:sz w:val="18"/>
                <w:szCs w:val="18"/>
                <w:color w:val="auto"/>
              </w:rPr>
              <w:t>Amortization expense in the condensed consolidated statements of operations was as follows:</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8"/>
        </w:trPr>
        <w:tc>
          <w:tcPr>
            <w:tcW w:w="77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4"/>
          </w:tcPr>
          <w:p>
            <w:pPr>
              <w:spacing w:after="0"/>
              <w:rPr>
                <w:sz w:val="15"/>
                <w:szCs w:val="15"/>
                <w:color w:val="auto"/>
              </w:rPr>
            </w:pPr>
          </w:p>
        </w:tc>
      </w:tr>
      <w:tr>
        <w:trPr>
          <w:trHeight w:val="263"/>
        </w:trPr>
        <w:tc>
          <w:tcPr>
            <w:tcW w:w="77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 March 31,</w:t>
            </w:r>
          </w:p>
        </w:tc>
      </w:tr>
      <w:tr>
        <w:trPr>
          <w:trHeight w:val="264"/>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Reacquired franchise rights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77"/>
        </w:trPr>
        <w:tc>
          <w:tcPr>
            <w:tcW w:w="77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78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22"/>
                <w:szCs w:val="22"/>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2026</w:t>
            </w:r>
          </w:p>
        </w:tc>
        <w:tc>
          <w:tcPr>
            <w:tcW w:w="16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2025</w:t>
            </w:r>
          </w:p>
        </w:tc>
      </w:tr>
      <w:tr>
        <w:trPr>
          <w:trHeight w:val="250"/>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with JPMorgan Chase Bank, N.A.</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19,875</w:t>
            </w:r>
          </w:p>
        </w:tc>
      </w:tr>
      <w:tr>
        <w:trPr>
          <w:trHeight w:val="270"/>
        </w:trPr>
        <w:tc>
          <w:tcPr>
            <w:tcW w:w="7780" w:type="dxa"/>
            <w:vAlign w:val="bottom"/>
          </w:tcPr>
          <w:p>
            <w:pPr>
              <w:ind w:left="20"/>
              <w:spacing w:after="0"/>
              <w:rPr>
                <w:sz w:val="20"/>
                <w:szCs w:val="20"/>
                <w:color w:val="auto"/>
              </w:rPr>
            </w:pPr>
            <w:r>
              <w:rPr>
                <w:rFonts w:ascii="Arial" w:cs="Arial" w:eastAsia="Arial" w:hAnsi="Arial"/>
                <w:sz w:val="18"/>
                <w:szCs w:val="18"/>
                <w:color w:val="auto"/>
              </w:rPr>
              <w:t>Finance obligations</w:t>
            </w:r>
            <w:r>
              <w:rPr>
                <w:rFonts w:ascii="Arial" w:cs="Arial" w:eastAsia="Arial" w:hAnsi="Arial"/>
                <w:sz w:val="23"/>
                <w:szCs w:val="23"/>
                <w:color w:val="auto"/>
                <w:vertAlign w:val="superscript"/>
              </w:rPr>
              <w:t>(1)</w:t>
            </w:r>
          </w:p>
        </w:tc>
        <w:tc>
          <w:tcPr>
            <w:tcW w:w="1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8,705</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8,008</w:t>
            </w: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47"/>
        </w:trPr>
        <w:tc>
          <w:tcPr>
            <w:tcW w:w="7780" w:type="dxa"/>
            <w:vAlign w:val="bottom"/>
          </w:tcPr>
          <w:p>
            <w:pPr>
              <w:ind w:left="20"/>
              <w:spacing w:after="0"/>
              <w:rPr>
                <w:sz w:val="20"/>
                <w:szCs w:val="20"/>
                <w:color w:val="auto"/>
              </w:rPr>
            </w:pPr>
            <w:r>
              <w:rPr>
                <w:rFonts w:ascii="Arial" w:cs="Arial" w:eastAsia="Arial" w:hAnsi="Arial"/>
                <w:sz w:val="18"/>
                <w:szCs w:val="18"/>
                <w:color w:val="auto"/>
              </w:rPr>
              <w:t>Less debt issuance costs</w:t>
            </w: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(1,131)</w:t>
            </w:r>
          </w:p>
        </w:tc>
      </w:tr>
      <w:tr>
        <w:trPr>
          <w:trHeight w:val="23"/>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26,405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25,917</w:t>
            </w:r>
          </w:p>
        </w:tc>
      </w:tr>
      <w:tr>
        <w:trPr>
          <w:trHeight w:val="54"/>
        </w:trPr>
        <w:tc>
          <w:tcPr>
            <w:tcW w:w="7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bl>
    <w:p>
      <w:pPr>
        <w:spacing w:after="0" w:line="82"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failed sale-leaseback arrangements related to certain reverse build-to-suit leases.</w:t>
      </w:r>
    </w:p>
    <w:p>
      <w:pPr>
        <w:spacing w:after="0" w:line="14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Concurrently with the closing of the IPO, Black Rock OpCo entered into a new credit agreement (the "New Credit Agreement") with JPMorgan Chase Bank, N.A., as the administrative agent, and other loan parties and lenders party thereto to provide for (i) a $50.0 million term loan (the “New Term Loan”) and (ii) a $25.0 million revolving credit facility (the “New Revolving Credit Facility” and, together with the New Term Loan, the “New Credit Facilities”). As of the closing of the IPO, the aggregate principal amount borrowed under the New Credit Facilities was $50.0 million from the New Term Loan which was used, together with proceeds from the Co-Founder Contribution and net proceeds from the IPO, to repay all amounts outstanding under the Company's amended Senior Credit Facility with RCS SBIC Fund II, L.P. and TCW Asset Management Company, LLC (the "Prior Credit Facility").</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New Credit Agreement, certain subsidiaries of Black Rock OpCo are guarantors of the obligations under the New Credit Agreement. Simultaneously with the execution of the New Credit Agreement, Black Rock OpCo and its subsidiaries entered into a pledge and security agreement. Pursuant to the pledge and security agreement, the New Credit Facilities are secured by liens on substantially all of the Company's assets, including the intellectual property of Black Rock OpCo and its subsidiaries and the equity interests of Black Rock OpCo's various subsidiaries.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New Credit Agreement contains certain affirmative and negative covenants, including, among other things, restrictions on indebtedness, liens on assets, fundamental changes and asset sales, investments, negative pledges, repurchase of stock, dividends and other distributions, and transactions with affiliates. In addition, the New Credit Agreement also contains financial covenants that require the Loan Parties (as defined in the New Credit Agreement) to not exceed a maximum net rent adjusted leverage ratio for any period of four consecutive fiscal quarters ending on the last day of any fiscal quarter, commencing with the fiscal quarter ending December 31, 2025, of 4.75 to 1.00 and to maintain a minimum fixed charge coverage ratio for any period of four consecutive fiscal quarters ending on the last day of any fiscal quarter, commencing with the fiscal quarter ending December 31, 2025, of no less than 1.20 to 1.00.</w:t>
      </w:r>
    </w:p>
    <w:p>
      <w:pPr>
        <w:spacing w:after="0" w:line="1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Borrowings under the New Credit Agreement are available as alternate base rate (“ABR”) or term benchmark loans. ABR loans under the New Credit Agreement accrue interest at an alternate base rate plus an applicable rate, and term benchmark loans accrue interest at an adjusted Secured Overnight Financing Rate ("SOFR") plus an applicable rate. The ABR rate represents the greatest of (i) the prime rate, (ii) the Federal Reserve’s Bank of New York overnight rate plus 0.5%, and (iii) the one-month adjusted term SOFR rate plus 1.0%. The applicable rate for the ABR and term benchmark loans is tied to a pricing grid tied to our net rent adjusted leverage ratio. The adjusted SOFR rate represents the term SOFR rate plus 0.10%. The applicable rate spread for ABR and term benchmark loans ranges from 0.50% to 1.75% and 1.50% to 2.75%, respectively. Interest on the New Credit Agreement is payable at least quarterly and upon maturity. As of March 31, 2026, the weighted-average interest rate on outstanding borrowings under the New Credit Facilities was approximately 6.02%.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Prior Credit Facility bore interest at either (a) the SOFR, plus 6.00%, plus a 0.50% spread or (b) the greatest of (i)</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2.50% per annum, (ii) the Federal Funds Rate plus 0.5%, (iii) the Prime Rate, and (iv) the Adjusted Term SOFR Rate for a one-month tenor in effect on such date plus 1.0%, in each case, plus 5.00% and a 0.5% spread, with the amount of spread in both scenarios based on a pricing grid tied to the Company’s total net leverage ratio. As of March 31, 2025, the interest rate on outstanding borrowings was approximately 10.17%.</w:t>
      </w:r>
    </w:p>
    <w:p>
      <w:pPr>
        <w:spacing w:after="0" w:line="1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New Revolving Credit Facility also has a variable commitment fee, which is payable quarterly based on Black Rock OpCo's net rent adjusted leverage ratio and ranges from 0.25% to 0.35% per annum. The Company is obligated to pay a fixed fronting fee for letters of credit of 0.125% per annum.</w:t>
      </w:r>
    </w:p>
    <w:p>
      <w:pPr>
        <w:spacing w:after="0" w:line="1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Amounts borrowed under the New Revolving Credit Facility may be repaid and re-borrowed through maturity of the New Credit Facilities in September 2030. The New Term Loan matures in September 2030. The New Term Loan may be repaid or prepaid but may not be re-borrowed. Borrowings under the New Credit Agreement are payable in quarterly principal installments and upon maturity. The Company was in compliance with all financial covenants as of March 31, 2026.</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Future principal maturities of long-term debt as of March 31, 2026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5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8"/>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47"/>
        </w:trPr>
        <w:tc>
          <w:tcPr>
            <w:tcW w:w="9520" w:type="dxa"/>
            <w:vAlign w:val="bottom"/>
          </w:tcPr>
          <w:p>
            <w:pPr>
              <w:ind w:left="20"/>
              <w:spacing w:after="0"/>
              <w:rPr>
                <w:sz w:val="20"/>
                <w:szCs w:val="20"/>
                <w:color w:val="auto"/>
              </w:rPr>
            </w:pPr>
            <w:r>
              <w:rPr>
                <w:rFonts w:ascii="Arial" w:cs="Arial" w:eastAsia="Arial" w:hAnsi="Arial"/>
                <w:sz w:val="18"/>
                <w:szCs w:val="18"/>
                <w:color w:val="auto"/>
              </w:rPr>
              <w:t>2027</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1,241</w:t>
            </w:r>
          </w:p>
        </w:tc>
      </w:tr>
      <w:tr>
        <w:trPr>
          <w:trHeight w:val="23"/>
        </w:trPr>
        <w:tc>
          <w:tcPr>
            <w:tcW w:w="9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1,387</w:t>
            </w:r>
          </w:p>
        </w:tc>
      </w:tr>
      <w:tr>
        <w:trPr>
          <w:trHeight w:val="247"/>
        </w:trPr>
        <w:tc>
          <w:tcPr>
            <w:tcW w:w="9520" w:type="dxa"/>
            <w:vAlign w:val="bottom"/>
          </w:tcPr>
          <w:p>
            <w:pPr>
              <w:ind w:left="20"/>
              <w:spacing w:after="0"/>
              <w:rPr>
                <w:sz w:val="20"/>
                <w:szCs w:val="20"/>
                <w:color w:val="auto"/>
              </w:rPr>
            </w:pPr>
            <w:r>
              <w:rPr>
                <w:rFonts w:ascii="Arial" w:cs="Arial" w:eastAsia="Arial" w:hAnsi="Arial"/>
                <w:sz w:val="18"/>
                <w:szCs w:val="18"/>
                <w:color w:val="auto"/>
              </w:rPr>
              <w:t>2029</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1,930</w:t>
            </w:r>
          </w:p>
        </w:tc>
      </w:tr>
      <w:tr>
        <w:trPr>
          <w:trHeight w:val="23"/>
        </w:trPr>
        <w:tc>
          <w:tcPr>
            <w:tcW w:w="9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15,867</w:t>
            </w:r>
          </w:p>
        </w:tc>
      </w:tr>
      <w:tr>
        <w:trPr>
          <w:trHeight w:val="247"/>
        </w:trPr>
        <w:tc>
          <w:tcPr>
            <w:tcW w:w="9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7,362</w:t>
            </w:r>
          </w:p>
        </w:tc>
      </w:tr>
      <w:tr>
        <w:trPr>
          <w:trHeight w:val="23"/>
        </w:trPr>
        <w:tc>
          <w:tcPr>
            <w:tcW w:w="95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28,455</w:t>
            </w:r>
          </w:p>
        </w:tc>
      </w:tr>
      <w:tr>
        <w:trPr>
          <w:trHeight w:val="54"/>
        </w:trPr>
        <w:tc>
          <w:tcPr>
            <w:tcW w:w="95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in the condensed consolidated statements of operations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34925</wp:posOffset>
            </wp:positionV>
            <wp:extent cx="22371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2,834</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Amortization of debt issuance costs and capitalized modification fees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3"/>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41"/>
        </w:trPr>
        <w:tc>
          <w:tcPr>
            <w:tcW w:w="77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3,042</w:t>
            </w:r>
          </w:p>
        </w:tc>
      </w:tr>
      <w:tr>
        <w:trPr>
          <w:trHeight w:val="77"/>
        </w:trPr>
        <w:tc>
          <w:tcPr>
            <w:tcW w:w="77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Leases</w:t>
      </w:r>
    </w:p>
    <w:p>
      <w:pPr>
        <w:spacing w:after="0" w:line="148"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The Company leases its stores, roasting and warehouse facilities, and corporate offices under operating leases, typically with initial terms of 10 to 15 years and multiple renewal options for additional periods of up to five years. Renewal options are generally not recognized as a part of the right-of-use assets and lease liabilities as it is not reasonably certain at the commencement date that the Company would exercise the renewal options.</w:t>
      </w:r>
    </w:p>
    <w:p>
      <w:pPr>
        <w:spacing w:after="0" w:line="109"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color w:val="auto"/>
        </w:rPr>
        <w:t>The components of net lease costs, included in occupancy and related expenses, pre-opening costs as well as selling, general and administrative expenses in the condensed consolidated statement of operations,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34925</wp:posOffset>
            </wp:positionV>
            <wp:extent cx="22371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3,770</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23"/>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sublease income</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0"/>
        </w:trPr>
        <w:tc>
          <w:tcPr>
            <w:tcW w:w="772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5,064</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3,962</w:t>
            </w:r>
          </w:p>
        </w:tc>
      </w:tr>
      <w:tr>
        <w:trPr>
          <w:trHeight w:val="77"/>
        </w:trPr>
        <w:tc>
          <w:tcPr>
            <w:tcW w:w="77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34925</wp:posOffset>
            </wp:positionV>
            <wp:extent cx="22371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3,430</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9,523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8,433</w:t>
            </w:r>
          </w:p>
        </w:tc>
      </w:tr>
      <w:tr>
        <w:trPr>
          <w:trHeight w:val="77"/>
        </w:trPr>
        <w:tc>
          <w:tcPr>
            <w:tcW w:w="77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future minimum lease payments for operating leases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952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
        </w:trPr>
        <w:tc>
          <w:tcPr>
            <w:tcW w:w="9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2026</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12,829</w:t>
            </w:r>
          </w:p>
        </w:tc>
      </w:tr>
      <w:tr>
        <w:trPr>
          <w:trHeight w:val="247"/>
        </w:trPr>
        <w:tc>
          <w:tcPr>
            <w:tcW w:w="9520" w:type="dxa"/>
            <w:vAlign w:val="bottom"/>
          </w:tcPr>
          <w:p>
            <w:pPr>
              <w:ind w:left="20"/>
              <w:spacing w:after="0"/>
              <w:rPr>
                <w:sz w:val="20"/>
                <w:szCs w:val="20"/>
                <w:color w:val="auto"/>
              </w:rPr>
            </w:pPr>
            <w:r>
              <w:rPr>
                <w:rFonts w:ascii="Arial" w:cs="Arial" w:eastAsia="Arial" w:hAnsi="Arial"/>
                <w:sz w:val="18"/>
                <w:szCs w:val="18"/>
                <w:color w:val="auto"/>
              </w:rPr>
              <w:t>2027</w:t>
            </w: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19,187</w:t>
            </w:r>
          </w:p>
        </w:tc>
      </w:tr>
      <w:tr>
        <w:trPr>
          <w:trHeight w:val="23"/>
        </w:trPr>
        <w:tc>
          <w:tcPr>
            <w:tcW w:w="9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18,783</w:t>
            </w:r>
          </w:p>
        </w:tc>
      </w:tr>
      <w:tr>
        <w:trPr>
          <w:trHeight w:val="247"/>
        </w:trPr>
        <w:tc>
          <w:tcPr>
            <w:tcW w:w="9520" w:type="dxa"/>
            <w:vAlign w:val="bottom"/>
          </w:tcPr>
          <w:p>
            <w:pPr>
              <w:ind w:left="20"/>
              <w:spacing w:after="0"/>
              <w:rPr>
                <w:sz w:val="20"/>
                <w:szCs w:val="20"/>
                <w:color w:val="auto"/>
              </w:rPr>
            </w:pPr>
            <w:r>
              <w:rPr>
                <w:rFonts w:ascii="Arial" w:cs="Arial" w:eastAsia="Arial" w:hAnsi="Arial"/>
                <w:sz w:val="18"/>
                <w:szCs w:val="18"/>
                <w:color w:val="auto"/>
              </w:rPr>
              <w:t>2029</w:t>
            </w: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18,171</w:t>
            </w:r>
          </w:p>
        </w:tc>
      </w:tr>
      <w:tr>
        <w:trPr>
          <w:trHeight w:val="23"/>
        </w:trPr>
        <w:tc>
          <w:tcPr>
            <w:tcW w:w="9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17,614</w:t>
            </w:r>
          </w:p>
        </w:tc>
      </w:tr>
      <w:tr>
        <w:trPr>
          <w:trHeight w:val="247"/>
        </w:trPr>
        <w:tc>
          <w:tcPr>
            <w:tcW w:w="95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119,299</w:t>
            </w:r>
          </w:p>
        </w:tc>
      </w:tr>
      <w:tr>
        <w:trPr>
          <w:trHeight w:val="23"/>
        </w:trPr>
        <w:tc>
          <w:tcPr>
            <w:tcW w:w="95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205,883</w:t>
            </w:r>
          </w:p>
        </w:tc>
      </w:tr>
      <w:tr>
        <w:trPr>
          <w:trHeight w:val="247"/>
        </w:trPr>
        <w:tc>
          <w:tcPr>
            <w:tcW w:w="952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(61,103)</w:t>
            </w:r>
          </w:p>
        </w:tc>
      </w:tr>
      <w:tr>
        <w:trPr>
          <w:trHeight w:val="23"/>
        </w:trPr>
        <w:tc>
          <w:tcPr>
            <w:tcW w:w="95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144,780</w:t>
            </w:r>
          </w:p>
        </w:tc>
      </w:tr>
      <w:tr>
        <w:trPr>
          <w:trHeight w:val="247"/>
        </w:trPr>
        <w:tc>
          <w:tcPr>
            <w:tcW w:w="952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5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(9,091)</w:t>
            </w:r>
          </w:p>
        </w:tc>
      </w:tr>
      <w:tr>
        <w:trPr>
          <w:trHeight w:val="23"/>
        </w:trPr>
        <w:tc>
          <w:tcPr>
            <w:tcW w:w="95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liability, net of current portion</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135,689</w:t>
            </w:r>
          </w:p>
        </w:tc>
      </w:tr>
      <w:tr>
        <w:trPr>
          <w:trHeight w:val="54"/>
        </w:trPr>
        <w:tc>
          <w:tcPr>
            <w:tcW w:w="95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 Noncontrolling Interest</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Black Rock Coffee Bar, Inc. is the sole managing member of Black Rock OpCo and as a result consolidates the results of operations of Black Rock OpCo. The noncontrolling interest balance represents the LLC Units held by the Continuing Equity Owners. The Seventh Amended and Restated LLC Agreement provides that holders of Black Rock OpCo LLC Units may, from time to time, require Black Rock OpCo to redeem all or a portion of their LLC Units for newly issued Class A common stock in Black Rock Coffee Bar, Inc. on a one-for-one basis. In connection with any redemptions or exchange, Black Rock Coffee Bar, Inc. will receive a corresponding number of Black Rock OpCo LLC Units, increasing Black Rock Coffee Bar, Inc.'s total ownership in Black Rock OpCo. Changes in Black Rock Coffee Bar, Inc.'s ownership in Black Rock OpCo, while Black Rock Coffee Bar, Inc. retains controlling interest in Black Rock OpCo, will be accounted for as equity transactions. As such, future redemptions or direct exchanges of LLC Units by the Continuing Equity Owners will result in a change in ownership and reduce the amount recorded as noncontrolling interest and increase additional paid-on capital.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ownership interest in Black Rock OpCo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02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1580" w:type="dxa"/>
            <w:vAlign w:val="bottom"/>
            <w:gridSpan w:val="2"/>
          </w:tcPr>
          <w:p>
            <w:pPr>
              <w:ind w:left="360"/>
              <w:spacing w:after="0"/>
              <w:rPr>
                <w:sz w:val="20"/>
                <w:szCs w:val="20"/>
                <w:color w:val="auto"/>
              </w:rPr>
            </w:pPr>
            <w:r>
              <w:rPr>
                <w:rFonts w:ascii="Arial" w:cs="Arial" w:eastAsia="Arial" w:hAnsi="Arial"/>
                <w:sz w:val="16"/>
                <w:szCs w:val="16"/>
                <w:b w:val="1"/>
                <w:bCs w:val="1"/>
                <w:color w:val="auto"/>
              </w:rPr>
              <w:t>LLC Units</w:t>
            </w:r>
          </w:p>
        </w:tc>
        <w:tc>
          <w:tcPr>
            <w:tcW w:w="1640" w:type="dxa"/>
            <w:vAlign w:val="bottom"/>
          </w:tcPr>
          <w:p>
            <w:pPr>
              <w:jc w:val="right"/>
              <w:ind w:right="232"/>
              <w:spacing w:after="0"/>
              <w:rPr>
                <w:sz w:val="20"/>
                <w:szCs w:val="20"/>
                <w:color w:val="auto"/>
              </w:rPr>
            </w:pPr>
            <w:r>
              <w:rPr>
                <w:rFonts w:ascii="Arial" w:cs="Arial" w:eastAsia="Arial" w:hAnsi="Arial"/>
                <w:sz w:val="16"/>
                <w:szCs w:val="16"/>
                <w:b w:val="1"/>
                <w:bCs w:val="1"/>
                <w:color w:val="auto"/>
              </w:rPr>
              <w:t>Ownership %</w:t>
            </w:r>
          </w:p>
        </w:tc>
      </w:tr>
      <w:tr>
        <w:trPr>
          <w:trHeight w:val="247"/>
        </w:trPr>
        <w:tc>
          <w:tcPr>
            <w:tcW w:w="80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LLC Units held by Black Rock Coffee Bar, Inc.</w:t>
            </w:r>
          </w:p>
        </w:tc>
        <w:tc>
          <w:tcPr>
            <w:tcW w:w="14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18,017</w:t>
            </w:r>
          </w:p>
        </w:tc>
        <w:tc>
          <w:tcPr>
            <w:tcW w:w="100" w:type="dxa"/>
            <w:vAlign w:val="bottom"/>
            <w:tcBorders>
              <w:top w:val="single" w:sz="8" w:color="CFF0FC"/>
              <w:bottom w:val="single" w:sz="8" w:color="CFF0FC"/>
            </w:tcBorders>
            <w:shd w:val="clear" w:color="auto" w:fill="CFF0FC"/>
          </w:tcPr>
          <w:p>
            <w:pPr>
              <w:spacing w:after="0"/>
              <w:rPr>
                <w:sz w:val="21"/>
                <w:szCs w:val="21"/>
                <w:color w:val="auto"/>
              </w:rPr>
            </w:pPr>
          </w:p>
        </w:tc>
        <w:tc>
          <w:tcPr>
            <w:tcW w:w="16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36.1 %</w:t>
            </w:r>
          </w:p>
        </w:tc>
      </w:tr>
      <w:tr>
        <w:trPr>
          <w:trHeight w:val="270"/>
        </w:trPr>
        <w:tc>
          <w:tcPr>
            <w:tcW w:w="80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LLC Units owned by Continuing Equity Owners</w:t>
            </w:r>
            <w:r>
              <w:rPr>
                <w:rFonts w:ascii="Arial" w:cs="Arial" w:eastAsia="Arial" w:hAnsi="Arial"/>
                <w:sz w:val="23"/>
                <w:szCs w:val="23"/>
                <w:color w:val="auto"/>
                <w:vertAlign w:val="superscript"/>
              </w:rPr>
              <w:t>(1)</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31,958</w:t>
            </w:r>
          </w:p>
        </w:tc>
        <w:tc>
          <w:tcPr>
            <w:tcW w:w="100" w:type="dxa"/>
            <w:vAlign w:val="bottom"/>
            <w:tcBorders>
              <w:bottom w:val="single" w:sz="8" w:color="CFF0FC"/>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63.9 %</w:t>
            </w:r>
          </w:p>
        </w:tc>
      </w:tr>
      <w:tr>
        <w:trPr>
          <w:trHeight w:val="263"/>
        </w:trPr>
        <w:tc>
          <w:tcPr>
            <w:tcW w:w="80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LLC Units outstanding</w:t>
            </w:r>
            <w:r>
              <w:rPr>
                <w:rFonts w:ascii="Arial" w:cs="Arial" w:eastAsia="Arial" w:hAnsi="Arial"/>
                <w:sz w:val="23"/>
                <w:szCs w:val="23"/>
                <w:color w:val="auto"/>
                <w:vertAlign w:val="superscript"/>
              </w:rPr>
              <w:t>(1)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49,975</w:t>
            </w:r>
          </w:p>
        </w:tc>
        <w:tc>
          <w:tcPr>
            <w:tcW w:w="100" w:type="dxa"/>
            <w:vAlign w:val="bottom"/>
            <w:shd w:val="clear" w:color="auto" w:fill="CFF0FC"/>
          </w:tcPr>
          <w:p>
            <w:pPr>
              <w:spacing w:after="0"/>
              <w:rPr>
                <w:sz w:val="22"/>
                <w:szCs w:val="22"/>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100 %</w:t>
            </w:r>
          </w:p>
        </w:tc>
      </w:tr>
      <w:tr>
        <w:trPr>
          <w:trHeight w:val="54"/>
        </w:trPr>
        <w:tc>
          <w:tcPr>
            <w:tcW w:w="80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r>
    </w:tbl>
    <w:p>
      <w:pPr>
        <w:spacing w:after="0" w:line="8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Excludes approximately 80.5 thousand restricted LLC Units still subject to time-based vesting requirements.</w:t>
      </w:r>
    </w:p>
    <w:p>
      <w:pPr>
        <w:spacing w:after="0" w:line="15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weighted-average ownership percentage for the applicable reporting period is used to attribute net income (loss) to Black Rock Coffee Bar, Inc. and the noncontrolling interest holders. Net income (loss) prior to the Company's IPO close was allocated based on the respective ownership percentages at that time. The noncontrolling interest holders' weighted-average ownership percentage for the three months ended March 31, 2026 was 64.8%.</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effect of changes in ownership of Black Rock OpCo on the Company's equity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560" w:type="dxa"/>
            <w:vAlign w:val="bottom"/>
          </w:tcPr>
          <w:p>
            <w:pPr>
              <w:ind w:left="20"/>
              <w:spacing w:after="0"/>
              <w:rPr>
                <w:sz w:val="20"/>
                <w:szCs w:val="20"/>
                <w:color w:val="auto"/>
              </w:rPr>
            </w:pPr>
            <w:r>
              <w:rPr>
                <w:rFonts w:ascii="Arial" w:cs="Arial" w:eastAsia="Arial" w:hAnsi="Arial"/>
                <w:sz w:val="16"/>
                <w:szCs w:val="16"/>
                <w:i w:val="1"/>
                <w:iCs w:val="1"/>
                <w:color w:val="auto"/>
              </w:rPr>
              <w:t>(in thousands)</w:t>
            </w:r>
          </w:p>
        </w:tc>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8"/>
        </w:trPr>
        <w:tc>
          <w:tcPr>
            <w:tcW w:w="9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attributable to Black Rock Coffee Bar, Inc.</w:t>
            </w:r>
          </w:p>
        </w:tc>
        <w:tc>
          <w:tcPr>
            <w:tcW w:w="640" w:type="dxa"/>
            <w:vAlign w:val="bottom"/>
            <w:tcBorders>
              <w:bottom w:val="single" w:sz="8" w:color="CFF0FC"/>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378</w:t>
            </w:r>
          </w:p>
        </w:tc>
      </w:tr>
      <w:tr>
        <w:trPr>
          <w:trHeight w:val="247"/>
        </w:trPr>
        <w:tc>
          <w:tcPr>
            <w:tcW w:w="9560" w:type="dxa"/>
            <w:vAlign w:val="bottom"/>
          </w:tcPr>
          <w:p>
            <w:pPr>
              <w:ind w:left="20"/>
              <w:spacing w:after="0"/>
              <w:rPr>
                <w:sz w:val="20"/>
                <w:szCs w:val="20"/>
                <w:color w:val="auto"/>
              </w:rPr>
            </w:pPr>
            <w:r>
              <w:rPr>
                <w:rFonts w:ascii="Arial" w:cs="Arial" w:eastAsia="Arial" w:hAnsi="Arial"/>
                <w:sz w:val="18"/>
                <w:szCs w:val="18"/>
                <w:color w:val="auto"/>
              </w:rPr>
              <w:t>Transfers from the noncontrolling interest</w:t>
            </w:r>
          </w:p>
        </w:tc>
        <w:tc>
          <w:tcPr>
            <w:tcW w:w="6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
        </w:trPr>
        <w:tc>
          <w:tcPr>
            <w:tcW w:w="9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95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Increase in additional paid-in capital as a result of the redemption of LLC Units</w:t>
            </w:r>
          </w:p>
        </w:tc>
        <w:tc>
          <w:tcPr>
            <w:tcW w:w="64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998</w:t>
            </w:r>
          </w:p>
        </w:tc>
      </w:tr>
      <w:tr>
        <w:trPr>
          <w:trHeight w:val="241"/>
        </w:trPr>
        <w:tc>
          <w:tcPr>
            <w:tcW w:w="9560" w:type="dxa"/>
            <w:vAlign w:val="bottom"/>
          </w:tcPr>
          <w:p>
            <w:pPr>
              <w:ind w:left="20"/>
              <w:spacing w:after="0"/>
              <w:rPr>
                <w:sz w:val="20"/>
                <w:szCs w:val="20"/>
                <w:color w:val="auto"/>
              </w:rPr>
            </w:pPr>
            <w:r>
              <w:rPr>
                <w:rFonts w:ascii="Arial" w:cs="Arial" w:eastAsia="Arial" w:hAnsi="Arial"/>
                <w:sz w:val="18"/>
                <w:szCs w:val="18"/>
                <w:color w:val="auto"/>
              </w:rPr>
              <w:t>Change from net income attributable to Black Rock Coffee Bar, Inc. and transfers from noncontrolling interest</w:t>
            </w: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1,376</w:t>
            </w:r>
          </w:p>
        </w:tc>
      </w:tr>
      <w:tr>
        <w:trPr>
          <w:trHeight w:val="77"/>
        </w:trPr>
        <w:tc>
          <w:tcPr>
            <w:tcW w:w="95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 Equity-Based Compensation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stock option activity for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6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rPr>
              <w:t>Stock Options</w:t>
            </w:r>
          </w:p>
        </w:tc>
        <w:tc>
          <w:tcPr>
            <w:tcW w:w="17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Weighted-Average</w:t>
            </w:r>
          </w:p>
        </w:tc>
        <w:tc>
          <w:tcPr>
            <w:tcW w:w="2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Weighted-Average</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Aggregate Intrinsic</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2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Remaining Contractual</w:t>
            </w:r>
          </w:p>
        </w:tc>
        <w:tc>
          <w:tcPr>
            <w:tcW w:w="16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120" w:type="dxa"/>
            <w:vAlign w:val="bottom"/>
          </w:tcPr>
          <w:p>
            <w:pPr>
              <w:spacing w:after="0"/>
              <w:rPr>
                <w:sz w:val="19"/>
                <w:szCs w:val="19"/>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Outstanding</w:t>
            </w:r>
          </w:p>
        </w:tc>
        <w:tc>
          <w:tcPr>
            <w:tcW w:w="20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Exercise Price</w:t>
            </w:r>
          </w:p>
        </w:tc>
        <w:tc>
          <w:tcPr>
            <w:tcW w:w="21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Term (in years)</w:t>
            </w:r>
          </w:p>
        </w:tc>
        <w:tc>
          <w:tcPr>
            <w:tcW w:w="1640" w:type="dxa"/>
            <w:vAlign w:val="bottom"/>
            <w:gridSpan w:val="2"/>
          </w:tcPr>
          <w:p>
            <w:pPr>
              <w:ind w:left="40"/>
              <w:spacing w:after="0"/>
              <w:rPr>
                <w:sz w:val="20"/>
                <w:szCs w:val="20"/>
                <w:color w:val="auto"/>
              </w:rPr>
            </w:pPr>
            <w:r>
              <w:rPr>
                <w:rFonts w:ascii="Arial" w:cs="Arial" w:eastAsia="Arial" w:hAnsi="Arial"/>
                <w:sz w:val="16"/>
                <w:szCs w:val="16"/>
                <w:b w:val="1"/>
                <w:bCs w:val="1"/>
                <w:color w:val="auto"/>
              </w:rPr>
              <w:t>Value (in thousands)</w:t>
            </w:r>
          </w:p>
        </w:tc>
        <w:tc>
          <w:tcPr>
            <w:tcW w:w="0" w:type="dxa"/>
            <w:vAlign w:val="bottom"/>
          </w:tcPr>
          <w:p>
            <w:pPr>
              <w:spacing w:after="0"/>
              <w:rPr>
                <w:sz w:val="1"/>
                <w:szCs w:val="1"/>
                <w:color w:val="auto"/>
              </w:rPr>
            </w:pPr>
          </w:p>
        </w:tc>
      </w:tr>
      <w:tr>
        <w:trPr>
          <w:trHeight w:val="267"/>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647,862</w:t>
            </w:r>
          </w:p>
        </w:tc>
        <w:tc>
          <w:tcPr>
            <w:tcW w:w="8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4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2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12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cancelled</w:t>
            </w: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120" w:type="dxa"/>
            <w:vAlign w:val="bottom"/>
          </w:tcPr>
          <w:p>
            <w:pPr>
              <w:ind w:left="20"/>
              <w:spacing w:after="0"/>
              <w:rPr>
                <w:sz w:val="20"/>
                <w:szCs w:val="20"/>
                <w:color w:val="auto"/>
              </w:rPr>
            </w:pPr>
            <w:r>
              <w:rPr>
                <w:rFonts w:ascii="Arial" w:cs="Arial" w:eastAsia="Arial" w:hAnsi="Arial"/>
                <w:sz w:val="18"/>
                <w:szCs w:val="18"/>
                <w:b w:val="1"/>
                <w:bCs w:val="1"/>
                <w:color w:val="auto"/>
              </w:rPr>
              <w:t>Outstanding as of March 31, 2026</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647,862</w:t>
            </w:r>
          </w:p>
        </w:tc>
        <w:tc>
          <w:tcPr>
            <w:tcW w:w="8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21"/>
                <w:szCs w:val="21"/>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9"/>
        </w:trPr>
        <w:tc>
          <w:tcPr>
            <w:tcW w:w="412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of March 31, 2026, no options were vested or exercisable. The total unrecognized equity-based compensation related to the stock options was approximately $5.1 million, which is expected to be recognized over a weighted-average period of 2.3 years.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activity for restricted stock units ("RSUs") for the three months ended March 31, 2026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Weighted-Average</w:t>
            </w:r>
          </w:p>
        </w:tc>
      </w:tr>
      <w:tr>
        <w:trPr>
          <w:trHeight w:val="255"/>
        </w:trPr>
        <w:tc>
          <w:tcPr>
            <w:tcW w:w="7280" w:type="dxa"/>
            <w:vAlign w:val="bottom"/>
            <w:tcBorders>
              <w:bottom w:val="single" w:sz="8" w:color="CCEEFF"/>
            </w:tcBorders>
          </w:tcPr>
          <w:p>
            <w:pPr>
              <w:spacing w:after="0"/>
              <w:rPr>
                <w:sz w:val="22"/>
                <w:szCs w:val="22"/>
                <w:color w:val="auto"/>
              </w:rPr>
            </w:pPr>
          </w:p>
        </w:tc>
        <w:tc>
          <w:tcPr>
            <w:tcW w:w="1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Number of RSUs</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Grant Date Fair Value</w:t>
            </w:r>
          </w:p>
        </w:tc>
      </w:tr>
      <w:tr>
        <w:trPr>
          <w:trHeight w:val="27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December 31, 2025</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341,246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r>
      <w:tr>
        <w:trPr>
          <w:trHeight w:val="247"/>
        </w:trPr>
        <w:tc>
          <w:tcPr>
            <w:tcW w:w="7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3"/>
        </w:trPr>
        <w:tc>
          <w:tcPr>
            <w:tcW w:w="7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 or cancelled</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spacing w:after="0"/>
              <w:rPr>
                <w:sz w:val="23"/>
                <w:szCs w:val="23"/>
                <w:color w:val="auto"/>
              </w:rPr>
            </w:pPr>
          </w:p>
        </w:tc>
      </w:tr>
      <w:tr>
        <w:trPr>
          <w:trHeight w:val="248"/>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Nonvested as of March 31, 2026</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341,246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69"/>
        </w:trPr>
        <w:tc>
          <w:tcPr>
            <w:tcW w:w="7280" w:type="dxa"/>
            <w:vAlign w:val="bottom"/>
            <w:tcBorders>
              <w:bottom w:val="single" w:sz="8" w:color="auto"/>
            </w:tcBorders>
          </w:tcPr>
          <w:p>
            <w:pPr>
              <w:spacing w:after="0"/>
              <w:rPr>
                <w:sz w:val="6"/>
                <w:szCs w:val="6"/>
                <w:color w:val="auto"/>
              </w:rPr>
            </w:pPr>
          </w:p>
        </w:tc>
        <w:tc>
          <w:tcPr>
            <w:tcW w:w="19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jc w:val="both"/>
        <w:ind w:right="80"/>
        <w:spacing w:after="0" w:line="287" w:lineRule="auto"/>
        <w:rPr>
          <w:sz w:val="20"/>
          <w:szCs w:val="20"/>
          <w:color w:val="auto"/>
        </w:rPr>
      </w:pPr>
      <w:r>
        <w:rPr>
          <w:rFonts w:ascii="Arial" w:cs="Arial" w:eastAsia="Arial" w:hAnsi="Arial"/>
          <w:sz w:val="18"/>
          <w:szCs w:val="18"/>
          <w:color w:val="auto"/>
        </w:rPr>
        <w:t>As of March 31, 2026, unrecognized compensation cost related to RSUs was approximately $5.4 million, which is expected to be recognized over a weighted-average period of 2.5 years.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34925</wp:posOffset>
            </wp:positionV>
            <wp:extent cx="22371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4"/>
        </w:trPr>
        <w:tc>
          <w:tcPr>
            <w:tcW w:w="77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 Income Taxes and Tax Receivable Agreement</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Black Rock Coffee Bar, Inc. is a Subchapter C corporation and is subject to federal and state income taxes. Black Rock Coffee Bar, Inc.'s sole material asset is its ownership interest in Black Rock OpCo, which is a limited liability company that is treated as a partnership for U.S. federal and certain state and local income tax purposes. Black Rock OpCo's net taxable income and related tax credits, if any, are passed through to its members and included in the members' tax returns. The income tax burden on the earnings taxed to the noncontrolling interest holders is not reported by the Company in its condensed consolidated financial statements under U.S. GAAP.</w:t>
      </w:r>
    </w:p>
    <w:p>
      <w:pPr>
        <w:spacing w:after="0" w:line="11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Company's effective tax rate was 5.4% and (9.7)% for the three months ended March 31, 2026 and 2025, respectively. The effective tax rate differs from our statutory rate in both periods due to the effect of flow-through entity income and losses for which the taxable income or loss is allocated to the noncontrolling interests.</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the three months ended March 31, 2026, the Company's deferred tax assets increased $3.1 million due to exchanges of LLC Units for Black Rock Coffee Bar, Inc. Class A common stock and additional tax basis increases generated from expected future payments under the TRA. As of March 31, 2026, the Company recorded a deferred tax asset of $55.8 million. The deferred tax assets are due to the tax effects of temporary differences in the book basis as compared to the tax basis of Black Rock Coffee Bar, Inc.'s investment in Black Rock OpCo. The Company recognizes deferred tax assets to the extent it believes these assets are more likely than not to be realized. In making such a determination, the Company considers all available positive and negative evidence, including future reversals of existing taxable temporary differences, projected future taxable income, tax planning strategies and recent results of operations.</w:t>
      </w:r>
    </w:p>
    <w:p>
      <w:pPr>
        <w:spacing w:after="0" w:line="11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each of the Continuing Equity Owners elects to convert their LLC Units into Class A common stock, Black Rock Coffee Bar, Inc. will assume their aggregate historical tax basis, which will create a net tax benefit for the Company. The Company will only recognize a deferred tax asset for financial reporting purposes when it is more-likely-than-not that the tax benefit will be realized.</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4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connection with the Transactions, the Company entered into a TRA with Black Rock OpCo and Continuing Equity Owners that provides for the payment by Black Rock Coffee Bar, Inc. to the Continuing Equity Owners of 85% of the amount of tax benefits, if any, that Black Rock Coffee Bar, Inc. realizes (or in some circumstances is deemed to realize) related to the tax basis adjustments.</w:t>
      </w:r>
    </w:p>
    <w:p>
      <w:pPr>
        <w:spacing w:after="0" w:line="103"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During the three months ended March 31, 2026, the Company's TRA liability increased $3.3 million due to exchanges of LLC Units for Black Rock Coffee Bar, Inc. Class A common stock. As of March 31, 2026, the Company had a liability of approximately $42.5 million related to its projected obligations under the TRA and is classified as non-current on the condensed consolidated balance sheets based on the expected date of payment.</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 Net Income Per Share</w:t>
      </w:r>
    </w:p>
    <w:p>
      <w:pPr>
        <w:spacing w:after="0" w:line="14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Prior to the IPO, the Black Rock OpCo membership structure included common units, redeemable Series A Preferred Units, Series A-1 Preferred Units, Series A-2 Preferred Units, and profits interests units. The Company analyzed the calculation of net income (loss) per unit for the periods prior to the IPO and determined that it resulted in values that would not be meaningful to the users of the condensed consolidated financial statements. Therefore, net income (loss) per unit information has not been presented for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following tables set forth reconciliations of the numerators and denominators used to compute basic and diluted net income per share of Class A common stock for the three months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 March</w:t>
            </w:r>
          </w:p>
        </w:tc>
      </w:tr>
      <w:tr>
        <w:trPr>
          <w:trHeight w:val="255"/>
        </w:trPr>
        <w:tc>
          <w:tcPr>
            <w:tcW w:w="8720" w:type="dxa"/>
            <w:vAlign w:val="bottom"/>
            <w:tcBorders>
              <w:bottom w:val="single" w:sz="8" w:color="CFF0FC"/>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5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31, 2026</w:t>
            </w:r>
          </w:p>
        </w:tc>
      </w:tr>
      <w:tr>
        <w:trPr>
          <w:trHeight w:val="237"/>
        </w:trPr>
        <w:tc>
          <w:tcPr>
            <w:tcW w:w="8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Numerator:</w:t>
            </w:r>
          </w:p>
        </w:tc>
        <w:tc>
          <w:tcPr>
            <w:tcW w:w="520" w:type="dxa"/>
            <w:vAlign w:val="bottom"/>
            <w:tcBorders>
              <w:bottom w:val="single" w:sz="8" w:color="CFF0FC"/>
            </w:tcBorders>
            <w:shd w:val="clear" w:color="auto" w:fill="CFF0FC"/>
          </w:tcPr>
          <w:p>
            <w:pPr>
              <w:spacing w:after="0"/>
              <w:rPr>
                <w:sz w:val="20"/>
                <w:szCs w:val="20"/>
                <w:color w:val="auto"/>
              </w:rPr>
            </w:pPr>
          </w:p>
        </w:tc>
        <w:tc>
          <w:tcPr>
            <w:tcW w:w="2000" w:type="dxa"/>
            <w:vAlign w:val="bottom"/>
            <w:tcBorders>
              <w:bottom w:val="single" w:sz="8" w:color="CFF0FC"/>
            </w:tcBorders>
            <w:shd w:val="clear" w:color="auto" w:fill="CFF0FC"/>
          </w:tcPr>
          <w:p>
            <w:pPr>
              <w:spacing w:after="0"/>
              <w:rPr>
                <w:sz w:val="20"/>
                <w:szCs w:val="20"/>
                <w:color w:val="auto"/>
              </w:rPr>
            </w:pPr>
          </w:p>
        </w:tc>
      </w:tr>
      <w:tr>
        <w:trPr>
          <w:trHeight w:val="247"/>
        </w:trPr>
        <w:tc>
          <w:tcPr>
            <w:tcW w:w="872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1,799</w:t>
            </w:r>
          </w:p>
        </w:tc>
      </w:tr>
      <w:tr>
        <w:trPr>
          <w:trHeight w:val="23"/>
        </w:trPr>
        <w:tc>
          <w:tcPr>
            <w:tcW w:w="8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8720" w:type="dxa"/>
            <w:vAlign w:val="bottom"/>
            <w:tcBorders>
              <w:bottom w:val="single" w:sz="8" w:color="CFF0FC"/>
            </w:tcBorders>
            <w:shd w:val="clear" w:color="auto" w:fill="CFF0FC"/>
          </w:tcPr>
          <w:p>
            <w:pPr>
              <w:jc w:val="right"/>
              <w:ind w:right="4092"/>
              <w:spacing w:after="0"/>
              <w:rPr>
                <w:sz w:val="20"/>
                <w:szCs w:val="20"/>
                <w:color w:val="auto"/>
              </w:rPr>
            </w:pPr>
            <w:r>
              <w:rPr>
                <w:rFonts w:ascii="Arial" w:cs="Arial" w:eastAsia="Arial" w:hAnsi="Arial"/>
                <w:sz w:val="18"/>
                <w:szCs w:val="18"/>
                <w:color w:val="auto"/>
              </w:rPr>
              <w:t>Less: net income attributable to noncontrolling interests</w:t>
            </w:r>
          </w:p>
        </w:tc>
        <w:tc>
          <w:tcPr>
            <w:tcW w:w="520" w:type="dxa"/>
            <w:vAlign w:val="bottom"/>
            <w:tcBorders>
              <w:bottom w:val="single" w:sz="8" w:color="CFF0FC"/>
            </w:tcBorders>
            <w:shd w:val="clear" w:color="auto" w:fill="CFF0FC"/>
          </w:tcPr>
          <w:p>
            <w:pPr>
              <w:spacing w:after="0"/>
              <w:rPr>
                <w:sz w:val="23"/>
                <w:szCs w:val="23"/>
                <w:color w:val="auto"/>
              </w:rPr>
            </w:pPr>
          </w:p>
        </w:tc>
        <w:tc>
          <w:tcPr>
            <w:tcW w:w="20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1,421</w:t>
            </w:r>
          </w:p>
        </w:tc>
      </w:tr>
      <w:tr>
        <w:trPr>
          <w:trHeight w:val="241"/>
        </w:trPr>
        <w:tc>
          <w:tcPr>
            <w:tcW w:w="8720" w:type="dxa"/>
            <w:vAlign w:val="bottom"/>
          </w:tcPr>
          <w:p>
            <w:pPr>
              <w:jc w:val="right"/>
              <w:ind w:right="4112"/>
              <w:spacing w:after="0"/>
              <w:rPr>
                <w:sz w:val="20"/>
                <w:szCs w:val="20"/>
                <w:color w:val="auto"/>
              </w:rPr>
            </w:pPr>
            <w:r>
              <w:rPr>
                <w:rFonts w:ascii="Arial" w:cs="Arial" w:eastAsia="Arial" w:hAnsi="Arial"/>
                <w:sz w:val="18"/>
                <w:szCs w:val="18"/>
                <w:color w:val="auto"/>
              </w:rPr>
              <w:t>Net income attributable to Black Rock Coffee Bar, Inc.</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w:t>
            </w:r>
          </w:p>
        </w:tc>
      </w:tr>
      <w:tr>
        <w:trPr>
          <w:trHeight w:val="77"/>
        </w:trPr>
        <w:tc>
          <w:tcPr>
            <w:tcW w:w="87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r>
      <w:tr>
        <w:trPr>
          <w:trHeight w:val="122"/>
        </w:trPr>
        <w:tc>
          <w:tcPr>
            <w:tcW w:w="87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rPr>
              <w:t>Three Months Ended March</w:t>
            </w:r>
          </w:p>
        </w:tc>
      </w:tr>
      <w:tr>
        <w:trPr>
          <w:trHeight w:val="25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 except share and per share amounts)</w:t>
            </w:r>
          </w:p>
        </w:tc>
        <w:tc>
          <w:tcPr>
            <w:tcW w:w="5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31, 2026</w:t>
            </w:r>
          </w:p>
        </w:tc>
      </w:tr>
      <w:tr>
        <w:trPr>
          <w:trHeight w:val="237"/>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share attributable to Class A common shareholders</w:t>
            </w:r>
          </w:p>
        </w:tc>
        <w:tc>
          <w:tcPr>
            <w:tcW w:w="52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spacing w:after="0"/>
              <w:rPr>
                <w:sz w:val="20"/>
                <w:szCs w:val="20"/>
                <w:color w:val="auto"/>
              </w:rPr>
            </w:pPr>
          </w:p>
        </w:tc>
      </w:tr>
      <w:tr>
        <w:trPr>
          <w:trHeight w:val="247"/>
        </w:trPr>
        <w:tc>
          <w:tcPr>
            <w:tcW w:w="8720" w:type="dxa"/>
            <w:vAlign w:val="bottom"/>
          </w:tcPr>
          <w:p>
            <w:pPr>
              <w:ind w:left="140"/>
              <w:spacing w:after="0"/>
              <w:rPr>
                <w:sz w:val="20"/>
                <w:szCs w:val="20"/>
                <w:color w:val="auto"/>
              </w:rPr>
            </w:pPr>
            <w:r>
              <w:rPr>
                <w:rFonts w:ascii="Arial" w:cs="Arial" w:eastAsia="Arial" w:hAnsi="Arial"/>
                <w:sz w:val="18"/>
                <w:szCs w:val="18"/>
                <w:color w:val="auto"/>
              </w:rPr>
              <w:t>Numerator:</w:t>
            </w:r>
          </w:p>
        </w:tc>
        <w:tc>
          <w:tcPr>
            <w:tcW w:w="5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
        </w:trPr>
        <w:tc>
          <w:tcPr>
            <w:tcW w:w="8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income attributable to Black Rock Coffee Bar, Inc.</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47"/>
        </w:trPr>
        <w:tc>
          <w:tcPr>
            <w:tcW w:w="8720" w:type="dxa"/>
            <w:vAlign w:val="bottom"/>
          </w:tcPr>
          <w:p>
            <w:pPr>
              <w:ind w:left="140"/>
              <w:spacing w:after="0"/>
              <w:rPr>
                <w:sz w:val="20"/>
                <w:szCs w:val="20"/>
                <w:color w:val="auto"/>
              </w:rPr>
            </w:pPr>
            <w:r>
              <w:rPr>
                <w:rFonts w:ascii="Arial" w:cs="Arial" w:eastAsia="Arial" w:hAnsi="Arial"/>
                <w:sz w:val="18"/>
                <w:szCs w:val="18"/>
                <w:color w:val="auto"/>
              </w:rPr>
              <w:t>Denominator:</w:t>
            </w:r>
          </w:p>
        </w:tc>
        <w:tc>
          <w:tcPr>
            <w:tcW w:w="5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
        </w:trPr>
        <w:tc>
          <w:tcPr>
            <w:tcW w:w="8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8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Weighted-average number of shares of Class A common stock outstanding</w:t>
            </w:r>
          </w:p>
        </w:tc>
        <w:tc>
          <w:tcPr>
            <w:tcW w:w="52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17,562,299</w:t>
            </w:r>
          </w:p>
        </w:tc>
      </w:tr>
      <w:tr>
        <w:trPr>
          <w:trHeight w:val="240"/>
        </w:trPr>
        <w:tc>
          <w:tcPr>
            <w:tcW w:w="8720" w:type="dxa"/>
            <w:vAlign w:val="bottom"/>
          </w:tcPr>
          <w:p>
            <w:pPr>
              <w:ind w:left="20"/>
              <w:spacing w:after="0"/>
              <w:rPr>
                <w:sz w:val="20"/>
                <w:szCs w:val="20"/>
                <w:color w:val="auto"/>
              </w:rPr>
            </w:pPr>
            <w:r>
              <w:rPr>
                <w:rFonts w:ascii="Arial" w:cs="Arial" w:eastAsia="Arial" w:hAnsi="Arial"/>
                <w:sz w:val="18"/>
                <w:szCs w:val="18"/>
                <w:color w:val="auto"/>
              </w:rPr>
              <w:t>Basic net income per share attributable to Class A common shareholders</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0.02</w:t>
            </w:r>
          </w:p>
        </w:tc>
      </w:tr>
      <w:tr>
        <w:trPr>
          <w:trHeight w:val="23"/>
        </w:trPr>
        <w:tc>
          <w:tcPr>
            <w:tcW w:w="8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87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2000" w:type="dxa"/>
            <w:vAlign w:val="bottom"/>
            <w:shd w:val="clear" w:color="auto" w:fill="CCEEFF"/>
          </w:tcPr>
          <w:p>
            <w:pPr>
              <w:spacing w:after="0"/>
              <w:rPr>
                <w:sz w:val="23"/>
                <w:szCs w:val="23"/>
                <w:color w:val="auto"/>
              </w:rPr>
            </w:pPr>
          </w:p>
        </w:tc>
      </w:tr>
      <w:tr>
        <w:trPr>
          <w:trHeight w:val="247"/>
        </w:trPr>
        <w:tc>
          <w:tcPr>
            <w:tcW w:w="8720" w:type="dxa"/>
            <w:vAlign w:val="bottom"/>
          </w:tcPr>
          <w:p>
            <w:pPr>
              <w:ind w:left="20"/>
              <w:spacing w:after="0"/>
              <w:rPr>
                <w:sz w:val="20"/>
                <w:szCs w:val="20"/>
                <w:color w:val="auto"/>
              </w:rPr>
            </w:pPr>
            <w:r>
              <w:rPr>
                <w:rFonts w:ascii="Arial" w:cs="Arial" w:eastAsia="Arial" w:hAnsi="Arial"/>
                <w:sz w:val="18"/>
                <w:szCs w:val="18"/>
                <w:color w:val="auto"/>
              </w:rPr>
              <w:t>Diluted net income per share attributable to Class A common shareholders</w:t>
            </w:r>
          </w:p>
        </w:tc>
        <w:tc>
          <w:tcPr>
            <w:tcW w:w="5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
        </w:trPr>
        <w:tc>
          <w:tcPr>
            <w:tcW w:w="8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Numerator:</w:t>
            </w:r>
          </w:p>
        </w:tc>
        <w:tc>
          <w:tcPr>
            <w:tcW w:w="5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7"/>
        </w:trPr>
        <w:tc>
          <w:tcPr>
            <w:tcW w:w="8720" w:type="dxa"/>
            <w:vAlign w:val="bottom"/>
          </w:tcPr>
          <w:p>
            <w:pPr>
              <w:ind w:left="240"/>
              <w:spacing w:after="0"/>
              <w:rPr>
                <w:sz w:val="20"/>
                <w:szCs w:val="20"/>
                <w:color w:val="auto"/>
              </w:rPr>
            </w:pPr>
            <w:r>
              <w:rPr>
                <w:rFonts w:ascii="Arial" w:cs="Arial" w:eastAsia="Arial" w:hAnsi="Arial"/>
                <w:sz w:val="18"/>
                <w:szCs w:val="18"/>
                <w:color w:val="auto"/>
              </w:rPr>
              <w:t>Net income attributable to Black Rock Coffee Bar, Inc.</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3"/>
        </w:trPr>
        <w:tc>
          <w:tcPr>
            <w:tcW w:w="87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3"/>
        </w:trPr>
        <w:tc>
          <w:tcPr>
            <w:tcW w:w="8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Diluted net income attributable to Black Rock Coffee Bar, Inc.</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r>
      <w:tr>
        <w:trPr>
          <w:trHeight w:val="247"/>
        </w:trPr>
        <w:tc>
          <w:tcPr>
            <w:tcW w:w="8720" w:type="dxa"/>
            <w:vAlign w:val="bottom"/>
          </w:tcPr>
          <w:p>
            <w:pPr>
              <w:ind w:left="140"/>
              <w:spacing w:after="0"/>
              <w:rPr>
                <w:sz w:val="20"/>
                <w:szCs w:val="20"/>
                <w:color w:val="auto"/>
              </w:rPr>
            </w:pPr>
            <w:r>
              <w:rPr>
                <w:rFonts w:ascii="Arial" w:cs="Arial" w:eastAsia="Arial" w:hAnsi="Arial"/>
                <w:sz w:val="18"/>
                <w:szCs w:val="18"/>
                <w:color w:val="auto"/>
              </w:rPr>
              <w:t>Denominator:</w:t>
            </w:r>
          </w:p>
        </w:tc>
        <w:tc>
          <w:tcPr>
            <w:tcW w:w="520" w:type="dxa"/>
            <w:vAlign w:val="bottom"/>
          </w:tcPr>
          <w:p>
            <w:pPr>
              <w:spacing w:after="0"/>
              <w:rPr>
                <w:sz w:val="21"/>
                <w:szCs w:val="21"/>
                <w:color w:val="auto"/>
              </w:rPr>
            </w:pPr>
          </w:p>
        </w:tc>
        <w:tc>
          <w:tcPr>
            <w:tcW w:w="2000" w:type="dxa"/>
            <w:vAlign w:val="bottom"/>
          </w:tcPr>
          <w:p>
            <w:pPr>
              <w:spacing w:after="0"/>
              <w:rPr>
                <w:sz w:val="21"/>
                <w:szCs w:val="21"/>
                <w:color w:val="auto"/>
              </w:rPr>
            </w:pPr>
          </w:p>
        </w:tc>
      </w:tr>
      <w:tr>
        <w:trPr>
          <w:trHeight w:val="23"/>
        </w:trPr>
        <w:tc>
          <w:tcPr>
            <w:tcW w:w="8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4"/>
        </w:trPr>
        <w:tc>
          <w:tcPr>
            <w:tcW w:w="8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Weighted-average number of shares of Class A common stock outstanding used to calculate diluted net</w:t>
            </w:r>
          </w:p>
        </w:tc>
        <w:tc>
          <w:tcPr>
            <w:tcW w:w="52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42"/>
        </w:trPr>
        <w:tc>
          <w:tcPr>
            <w:tcW w:w="8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per share</w:t>
            </w:r>
          </w:p>
        </w:tc>
        <w:tc>
          <w:tcPr>
            <w:tcW w:w="5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17,562,299</w:t>
            </w:r>
          </w:p>
        </w:tc>
      </w:tr>
      <w:tr>
        <w:trPr>
          <w:trHeight w:val="247"/>
        </w:trPr>
        <w:tc>
          <w:tcPr>
            <w:tcW w:w="8720" w:type="dxa"/>
            <w:vAlign w:val="bottom"/>
          </w:tcPr>
          <w:p>
            <w:pPr>
              <w:ind w:left="20"/>
              <w:spacing w:after="0"/>
              <w:rPr>
                <w:sz w:val="20"/>
                <w:szCs w:val="20"/>
                <w:color w:val="auto"/>
              </w:rPr>
            </w:pPr>
            <w:r>
              <w:rPr>
                <w:rFonts w:ascii="Arial" w:cs="Arial" w:eastAsia="Arial" w:hAnsi="Arial"/>
                <w:sz w:val="18"/>
                <w:szCs w:val="18"/>
                <w:color w:val="auto"/>
              </w:rPr>
              <w:t>Diluted net income per share attributable to Class A common shareholders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77"/>
        </w:trPr>
        <w:tc>
          <w:tcPr>
            <w:tcW w:w="872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200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following Class A common share equivalents were excluded from diluted net income per share in the periods presented because they were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b w:val="1"/>
                <w:bCs w:val="1"/>
                <w:color w:val="auto"/>
              </w:rPr>
              <w:t>Three Months Ended March</w:t>
            </w:r>
          </w:p>
        </w:tc>
      </w:tr>
      <w:tr>
        <w:trPr>
          <w:trHeight w:val="255"/>
        </w:trPr>
        <w:tc>
          <w:tcPr>
            <w:tcW w:w="8720" w:type="dxa"/>
            <w:vAlign w:val="bottom"/>
            <w:tcBorders>
              <w:bottom w:val="single" w:sz="8" w:color="CCEEFF"/>
            </w:tcBorders>
          </w:tcPr>
          <w:p>
            <w:pPr>
              <w:spacing w:after="0"/>
              <w:rPr>
                <w:sz w:val="22"/>
                <w:szCs w:val="22"/>
                <w:color w:val="auto"/>
              </w:rPr>
            </w:pPr>
          </w:p>
        </w:tc>
        <w:tc>
          <w:tcPr>
            <w:tcW w:w="25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31, 2026</w:t>
            </w: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647,862</w:t>
            </w:r>
          </w:p>
        </w:tc>
      </w:tr>
      <w:tr>
        <w:trPr>
          <w:trHeight w:val="247"/>
        </w:trPr>
        <w:tc>
          <w:tcPr>
            <w:tcW w:w="8720" w:type="dxa"/>
            <w:vAlign w:val="bottom"/>
          </w:tcPr>
          <w:p>
            <w:pPr>
              <w:ind w:left="20"/>
              <w:spacing w:after="0"/>
              <w:rPr>
                <w:sz w:val="20"/>
                <w:szCs w:val="20"/>
                <w:color w:val="auto"/>
              </w:rPr>
            </w:pPr>
            <w:r>
              <w:rPr>
                <w:rFonts w:ascii="Arial" w:cs="Arial" w:eastAsia="Arial" w:hAnsi="Arial"/>
                <w:sz w:val="18"/>
                <w:szCs w:val="18"/>
                <w:color w:val="auto"/>
              </w:rPr>
              <w:t>RSUs</w:t>
            </w:r>
          </w:p>
        </w:tc>
        <w:tc>
          <w:tcPr>
            <w:tcW w:w="2520" w:type="dxa"/>
            <w:vAlign w:val="bottom"/>
          </w:tcPr>
          <w:p>
            <w:pPr>
              <w:jc w:val="right"/>
              <w:spacing w:after="0"/>
              <w:rPr>
                <w:sz w:val="20"/>
                <w:szCs w:val="20"/>
                <w:color w:val="auto"/>
              </w:rPr>
            </w:pPr>
            <w:r>
              <w:rPr>
                <w:rFonts w:ascii="Arial" w:cs="Arial" w:eastAsia="Arial" w:hAnsi="Arial"/>
                <w:sz w:val="18"/>
                <w:szCs w:val="18"/>
                <w:color w:val="auto"/>
              </w:rPr>
              <w:t>341,246</w:t>
            </w:r>
          </w:p>
        </w:tc>
      </w:tr>
      <w:tr>
        <w:trPr>
          <w:trHeight w:val="23"/>
        </w:trPr>
        <w:tc>
          <w:tcPr>
            <w:tcW w:w="87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7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LLC Units</w:t>
            </w: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32,038,336</w:t>
            </w:r>
          </w:p>
        </w:tc>
      </w:tr>
      <w:tr>
        <w:trPr>
          <w:trHeight w:val="241"/>
        </w:trPr>
        <w:tc>
          <w:tcPr>
            <w:tcW w:w="872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2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33,027,444</w:t>
            </w:r>
          </w:p>
        </w:tc>
      </w:tr>
      <w:tr>
        <w:trPr>
          <w:trHeight w:val="77"/>
        </w:trPr>
        <w:tc>
          <w:tcPr>
            <w:tcW w:w="872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Shares of the Company's Class B and Class C common stock do not participate in income or losses of Black Rock Coffee Bar, Inc. and therefore are not participating securities. As such, separate presentation of basic and diluted net income per share of Class B and Class C common stock under the two-class method has not been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 Related Party Transactions</w:t>
      </w:r>
    </w:p>
    <w:p>
      <w:pPr>
        <w:spacing w:after="0" w:line="14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Too Sweet Cakes, LLC (“Too Sweet”), an Oregon bakery, offers a selection of their baked goods exclusively at certain of the Company’s stores. Shelbi Geyer, the wife of Clay Geyer, the Company’s Chief Operating Officer, and Viking Cake and its affiliates, a beneficial owner of the Company, are owners of and investors in Too Sweet. For the three months ended March 31, 2026 and 2025, the Company made purchases from Too Sweet of $1.6 million.</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 Commitments and Contingencies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enter into fixed-price and price-to-be-fixed green coffee purchase commitments. For both fixed-price and price-to-be-fixed purchase commitments, we expect to take delivery of green coffee and to utilize the coffee in a reasonable period of time in the ordinary course of business. Such contracts are used for the normal purchases of green coffee and not for speculative purposes. We do not enter into futures contracts or other derivative instruments related to our green coffee purchase commitments.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5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is subject to various legal actions in the ordinary course of business. In determining loss contingencies, the Company considers the likelihood of loss as well as the ability to reasonably estimate the amount of such loss or liability. An estimated loss is recognized when it is considered probable that the liability has been incurred and when the amount of loss can be reasonably estimated. While any claim, proceeding or litigation has an element of uncertainty, the Company believes the outcome of any of these matters that are pending or threatened will not have a material adverse effect on its financial condition, results or operations, or cash flows as of March 31, 2026.</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 Segment Reporting</w:t>
      </w:r>
    </w:p>
    <w:p>
      <w:pPr>
        <w:spacing w:after="0" w:line="14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uses the management approach for determining its reportable segments. The management approach is based upon the way that management reviews performance and allocates resources.</w:t>
      </w:r>
    </w:p>
    <w:p>
      <w:pPr>
        <w:spacing w:after="0" w:line="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chief operating decision-maker (the “CODM”) is its CEO. The Company has one operating and one reportable segment, as the CODM allocates resources and regularly reviews operations and financial performance at a consolidated level. The CODM uses consolidated net income to allocate resources for the single segment to make decisions regarding annual budget, new store openings, marketing decisions and driving the Company’s mission. The measure of the single reportable segment’s assets is reported as Total assets on the condensed consolidated balance sheets.</w:t>
      </w:r>
    </w:p>
    <w:p>
      <w:pPr>
        <w:spacing w:after="0" w:line="9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No changes have been made to the Company’s segment during the three months ended March 31, 2026. In addition, no customer represented 10% or more of total revenue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4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BLACK ROCK COFFEE BAR, INC.</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the Company’s reportable segment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34925</wp:posOffset>
            </wp:positionV>
            <wp:extent cx="22371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44,820</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Beverage, food and packaging costs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15,013</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12,682</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Labor and related expenses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11,475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9,419</w:t>
            </w:r>
          </w:p>
        </w:tc>
      </w:tr>
      <w:tr>
        <w:trPr>
          <w:trHeight w:val="23"/>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related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r>
      <w:tr>
        <w:trPr>
          <w:trHeight w:val="270"/>
        </w:trPr>
        <w:tc>
          <w:tcPr>
            <w:tcW w:w="7720" w:type="dxa"/>
            <w:vAlign w:val="bottom"/>
          </w:tcPr>
          <w:p>
            <w:pPr>
              <w:ind w:left="20"/>
              <w:spacing w:after="0"/>
              <w:rPr>
                <w:sz w:val="20"/>
                <w:szCs w:val="20"/>
                <w:color w:val="auto"/>
              </w:rPr>
            </w:pPr>
            <w:r>
              <w:rPr>
                <w:rFonts w:ascii="Arial" w:cs="Arial" w:eastAsia="Arial" w:hAnsi="Arial"/>
                <w:sz w:val="18"/>
                <w:szCs w:val="18"/>
                <w:color w:val="auto"/>
              </w:rPr>
              <w:t>Other store operating expenses</w:t>
            </w:r>
            <w:r>
              <w:rPr>
                <w:rFonts w:ascii="Arial" w:cs="Arial" w:eastAsia="Arial" w:hAnsi="Arial"/>
                <w:sz w:val="23"/>
                <w:szCs w:val="23"/>
                <w:color w:val="auto"/>
                <w:vertAlign w:val="superscript"/>
              </w:rPr>
              <w:t>(1)</w:t>
            </w:r>
          </w:p>
        </w:tc>
        <w:tc>
          <w:tcPr>
            <w:tcW w:w="3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7,782</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6,239</w:t>
            </w: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3,453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2,883</w:t>
            </w:r>
          </w:p>
        </w:tc>
      </w:tr>
      <w:tr>
        <w:trPr>
          <w:trHeight w:val="23"/>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3,042</w:t>
            </w:r>
          </w:p>
        </w:tc>
      </w:tr>
      <w:tr>
        <w:trPr>
          <w:trHeight w:val="23"/>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
        </w:trPr>
        <w:tc>
          <w:tcPr>
            <w:tcW w:w="77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47"/>
        </w:trPr>
        <w:tc>
          <w:tcPr>
            <w:tcW w:w="7720" w:type="dxa"/>
            <w:vAlign w:val="bottom"/>
          </w:tcPr>
          <w:p>
            <w:pPr>
              <w:ind w:left="20"/>
              <w:spacing w:after="0"/>
              <w:rPr>
                <w:sz w:val="20"/>
                <w:szCs w:val="20"/>
                <w:color w:val="auto"/>
              </w:rPr>
            </w:pPr>
            <w:r>
              <w:rPr>
                <w:rFonts w:ascii="Arial" w:cs="Arial" w:eastAsia="Arial" w:hAnsi="Arial"/>
                <w:sz w:val="18"/>
                <w:szCs w:val="18"/>
                <w:color w:val="auto"/>
              </w:rPr>
              <w:t>Reconciliation of profit or loss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3"/>
        </w:trPr>
        <w:tc>
          <w:tcPr>
            <w:tcW w:w="7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and reconciling items</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0"/>
        </w:trPr>
        <w:tc>
          <w:tcPr>
            <w:tcW w:w="7720" w:type="dxa"/>
            <w:vAlign w:val="bottom"/>
          </w:tcPr>
          <w:p>
            <w:pPr>
              <w:ind w:left="20"/>
              <w:spacing w:after="0"/>
              <w:rPr>
                <w:sz w:val="20"/>
                <w:szCs w:val="20"/>
                <w:color w:val="auto"/>
              </w:rPr>
            </w:pPr>
            <w:r>
              <w:rPr>
                <w:rFonts w:ascii="Arial" w:cs="Arial" w:eastAsia="Arial" w:hAnsi="Arial"/>
                <w:sz w:val="18"/>
                <w:szCs w:val="18"/>
                <w:color w:val="auto"/>
              </w:rPr>
              <w:t>Consolidated net income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2" w:lineRule="exact"/>
        <w:rPr>
          <w:sz w:val="20"/>
          <w:szCs w:val="20"/>
          <w:color w:val="auto"/>
        </w:rPr>
      </w:pPr>
    </w:p>
    <w:p>
      <w:pPr>
        <w:ind w:left="340" w:right="340" w:hanging="332"/>
        <w:spacing w:after="0" w:line="302" w:lineRule="auto"/>
        <w:tabs>
          <w:tab w:leader="none" w:pos="329" w:val="left"/>
        </w:tabs>
        <w:numPr>
          <w:ilvl w:val="0"/>
          <w:numId w:val="12"/>
        </w:numPr>
        <w:rPr>
          <w:rFonts w:ascii="Arial" w:cs="Arial" w:eastAsia="Arial" w:hAnsi="Arial"/>
          <w:sz w:val="13"/>
          <w:szCs w:val="13"/>
          <w:color w:val="auto"/>
        </w:rPr>
      </w:pPr>
      <w:r>
        <w:rPr>
          <w:rFonts w:ascii="Arial" w:cs="Arial" w:eastAsia="Arial" w:hAnsi="Arial"/>
          <w:sz w:val="13"/>
          <w:szCs w:val="13"/>
          <w:color w:val="auto"/>
        </w:rPr>
        <w:t>Other store operating expenses consists of credit card fees, repairs and maintenance, utilities, software subscriptions, property taxes, and other operating expenses, incidental to operating the Company’s stores, such as store supplies, insurance, business permits, and travel expense.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interim condensed consolidated financial statements and the related notes included elsewhere in this Quarterly Report on Form 10-Q ("Form 10-Q"), and audited consolidated financial statements included in our Annual Report on Form 10-K ("Form 10-K") for the year ended December 31, 2025 filed with the SEC on March 4, 2026. In addition to historical information, this discussion and analysis contains forward-looking statements based on current expectations that involve risks, uncertainties, and other factors outside the Company’s control, as well as assumptions, such as our plans, objectives, expectations, and intentions. Our actual results may differ materially from those expressed or implied in the forward-looking statements as a result of various factors, including those described under the sections entitled “Forward-Looking Statements” above and “Risk Factors” elsewhere in this Form 10-Q, in the Form 10-K and our other filings with the SEC.</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a high-growth operator of guest-centric, drive-thru coffee bars offering premium caffeinated beverages and an elevated in-store experience crafted by our engaging baristas. Black Rock Coffee Bar was founded in 2008 in Beaverton, Oregon, by our co-founders Daniel Brand and Jeff Hernandez. What started as a single 160 square foot coffee bar in 2008 is now one of the fastest growing beverage companies in the United States by revenue and the largest fully company-owned coffee retailer in the country, with 190 locations spanning seven states as of March 31, 2026, from the Pacific Northwest to Texas.</w:t>
      </w:r>
    </w:p>
    <w:p>
      <w:pPr>
        <w:spacing w:after="0" w:line="112"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were founded as a drive-thru only concept and evolved to include engaging seating areas, which we call “lobbies.” All of our locations include efficient drive-thrus and approximately 75% of our locations include lobbies as of March 31, 2026. We expect most of our new locations to include both drive-thrus and lobbies as we continue to grow. Our modern, inviting store formats—paired with a robust digital platform—allow us to deliver a dynamic and multi-faceted guest experience.</w:t>
      </w:r>
    </w:p>
    <w:p>
      <w:pPr>
        <w:spacing w:after="0" w:line="95"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color w:val="auto"/>
        </w:rPr>
        <w:t>Driven by a passion for Connection, Caffeine, and Community, Black Rock is a platform to do well by our baristas, guests, and the communities we serve. With a relentless focus on people and excellence, our culture has been key to our success.</w:t>
      </w:r>
    </w:p>
    <w:p>
      <w:pPr>
        <w:spacing w:after="0" w:line="8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These results demonstrate the strength and consistency of our model and highlight our genuine connection to our guests across diverse markets.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Highlights</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During the three months ended March 31, 2026, we demonstrated strong execution and meaningful acceleration across the business, supported by total revenue growth, sustained Same Store Sales Growth, and an expansion of our Store-Level Profit Margin. Performance for the quarter reflected progress against our strategic priorities, including deepening customer engagement, strengthening our people-oriented culture, and continuing to expand our marketing presence</w:t>
      </w:r>
      <w:r>
        <w:rPr>
          <w:rFonts w:ascii="Arial" w:cs="Arial" w:eastAsia="Arial" w:hAnsi="Arial"/>
          <w:sz w:val="18"/>
          <w:szCs w:val="18"/>
          <w:color w:val="EE2724"/>
        </w:rPr>
        <w:t>.</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three months ended March 31, 2026, we opened 9 net new stores across Colorado, Texas, Arizona, and Oregon, bringing our total store count to 190. As a result, Total revenue grew 23.7% for the three months ended March 31, 2026, compared to the three months ended March 31, 2025. Total revenue also saw contribution from 5.2% Same Store Sales Growth, supported by check growth and lower discounting during the three months ended March 31, 2026, compared to the three months ended March 31, 2025, partially offset by softer transaction volume for the three months ended March 31, 2026.</w:t>
      </w:r>
    </w:p>
    <w:p>
      <w:pPr>
        <w:spacing w:after="0" w:line="11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Income from operations margin decreased to 4.8% for the three months ended March 31, 2026 from 5.0% for the three months ended March 31, 2025. Further, Store-Level Profit Margin increased to 29.6% for the three months ended March 31, 2026 from 28.3% for the three months ended March 31, 2025. The increase in Store-Level Profit Margin was primarily driven by operational discipline, cost management and improving unit-level economics.</w:t>
      </w:r>
    </w:p>
    <w:p>
      <w:pPr>
        <w:spacing w:after="0" w:line="9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Future results will depend on our ability to continue expanding our store footprint and effectively manage external factors that may influence operating performance, including macroeconomic conditions affecting guest demand, commodity and wage inflation, and potential supply chain constraints.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Key Performance Measures and Non-GAAP Financial Measures</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assessing the performance of our business, in addition to considering a variety of measures in accordance with GAAP, our management team also considers a variety of key performance measures and non-GAAP financial measures. The key performance measures and non-GAAP financial measures used by our management to evaluate our performance are: Total Stores (End of Period), Net New Store Openings, Same Store Sales Growth, Average Unit Volume, Store revenue, Store-Level Profit, Store-Level Profit Margin, Adjusted EBITDA, Adjusted EBITDA Margin and Total store operating weeks.</w:t>
      </w:r>
    </w:p>
    <w:p>
      <w:pPr>
        <w:spacing w:after="0" w:line="9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that these measures provide useful information to users of our financial statements in understanding and evaluating our results of operations in the same manner as our management team. The presentation of non-GAAP financial measures is not intended to be considered in isolation or as a substitute for, or superior to, the financial information prepared and presented in accordance with GAAP. See “Non-GAAP Financial Measures” below.</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key performance measures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6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50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 March 31,</w:t>
            </w:r>
          </w:p>
        </w:tc>
        <w:tc>
          <w:tcPr>
            <w:tcW w:w="3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6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 in thousands)</w:t>
            </w:r>
          </w:p>
        </w:tc>
        <w:tc>
          <w:tcPr>
            <w:tcW w:w="320" w:type="dxa"/>
            <w:vAlign w:val="bottom"/>
            <w:tcBorders>
              <w:top w:val="single" w:sz="8" w:color="auto"/>
              <w:bottom w:val="single" w:sz="8" w:color="auto"/>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2026</w:t>
            </w:r>
          </w:p>
        </w:tc>
        <w:tc>
          <w:tcPr>
            <w:tcW w:w="8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Change</w:t>
            </w: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Stores (End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7"/>
        </w:trPr>
        <w:tc>
          <w:tcPr>
            <w:tcW w:w="5620" w:type="dxa"/>
            <w:vAlign w:val="bottom"/>
          </w:tcPr>
          <w:p>
            <w:pPr>
              <w:ind w:left="20"/>
              <w:spacing w:after="0"/>
              <w:rPr>
                <w:sz w:val="20"/>
                <w:szCs w:val="20"/>
                <w:color w:val="auto"/>
              </w:rPr>
            </w:pPr>
            <w:r>
              <w:rPr>
                <w:rFonts w:ascii="Arial" w:cs="Arial" w:eastAsia="Arial" w:hAnsi="Arial"/>
                <w:sz w:val="18"/>
                <w:szCs w:val="18"/>
                <w:color w:val="auto"/>
              </w:rPr>
              <w:t>Net New Store Openings</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Same Store Sales Growth</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7"/>
        </w:trPr>
        <w:tc>
          <w:tcPr>
            <w:tcW w:w="5620" w:type="dxa"/>
            <w:vAlign w:val="bottom"/>
          </w:tcPr>
          <w:p>
            <w:pPr>
              <w:ind w:left="20"/>
              <w:spacing w:after="0"/>
              <w:rPr>
                <w:sz w:val="20"/>
                <w:szCs w:val="20"/>
                <w:color w:val="auto"/>
              </w:rPr>
            </w:pPr>
            <w:r>
              <w:rPr>
                <w:rFonts w:ascii="Arial" w:cs="Arial" w:eastAsia="Arial" w:hAnsi="Arial"/>
                <w:sz w:val="18"/>
                <w:szCs w:val="18"/>
                <w:color w:val="auto"/>
              </w:rPr>
              <w:t>Average Unit Volume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1,279</w:t>
            </w:r>
          </w:p>
        </w:tc>
        <w:tc>
          <w:tcPr>
            <w:tcW w:w="8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76</w:t>
            </w:r>
          </w:p>
        </w:tc>
      </w:tr>
      <w:tr>
        <w:trPr>
          <w:trHeight w:val="23"/>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55,384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44,774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10,610</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2,676</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425</w:t>
            </w: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 margin</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Store-Level Profit</w:t>
            </w:r>
            <w:r>
              <w:rPr>
                <w:rFonts w:ascii="Arial" w:cs="Arial" w:eastAsia="Arial" w:hAnsi="Arial"/>
                <w:sz w:val="23"/>
                <w:szCs w:val="23"/>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16,389</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12,686</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3,703</w:t>
            </w: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Store-Level Profit Margin</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Net income (loss)</w:t>
            </w:r>
            <w:r>
              <w:rPr>
                <w:rFonts w:ascii="Arial" w:cs="Arial" w:eastAsia="Arial" w:hAnsi="Arial"/>
                <w:sz w:val="23"/>
                <w:szCs w:val="23"/>
                <w:color w:val="auto"/>
                <w:vertAlign w:val="superscript"/>
              </w:rPr>
              <w:t>(3)</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1,799</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2,683</w:t>
            </w: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margin</w:t>
            </w:r>
            <w:r>
              <w:rPr>
                <w:rFonts w:ascii="Arial" w:cs="Arial" w:eastAsia="Arial" w:hAnsi="Arial"/>
                <w:sz w:val="23"/>
                <w:szCs w:val="23"/>
                <w:color w:val="auto"/>
                <w:vertAlign w:val="superscript"/>
              </w:rPr>
              <w:t>(3)</w:t>
            </w: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70"/>
        </w:trPr>
        <w:tc>
          <w:tcPr>
            <w:tcW w:w="562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7,429</w:t>
            </w:r>
          </w:p>
        </w:tc>
        <w:tc>
          <w:tcPr>
            <w:tcW w:w="8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6,017</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1,412</w:t>
            </w:r>
          </w:p>
        </w:tc>
      </w:tr>
      <w:tr>
        <w:trPr>
          <w:trHeight w:val="27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7"/>
        </w:trPr>
        <w:tc>
          <w:tcPr>
            <w:tcW w:w="5620" w:type="dxa"/>
            <w:vAlign w:val="bottom"/>
          </w:tcPr>
          <w:p>
            <w:pPr>
              <w:ind w:left="20"/>
              <w:spacing w:after="0"/>
              <w:rPr>
                <w:sz w:val="20"/>
                <w:szCs w:val="20"/>
                <w:color w:val="auto"/>
              </w:rPr>
            </w:pPr>
            <w:r>
              <w:rPr>
                <w:rFonts w:ascii="Arial" w:cs="Arial" w:eastAsia="Arial" w:hAnsi="Arial"/>
                <w:sz w:val="18"/>
                <w:szCs w:val="18"/>
                <w:color w:val="auto"/>
              </w:rPr>
              <w:t>Total store operating weeks</w:t>
            </w:r>
          </w:p>
        </w:tc>
        <w:tc>
          <w:tcPr>
            <w:tcW w:w="3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2,357</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77"/>
        </w:trPr>
        <w:tc>
          <w:tcPr>
            <w:tcW w:w="56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tcPr>
          <w:p>
            <w:pPr>
              <w:spacing w:after="0"/>
              <w:rPr>
                <w:sz w:val="6"/>
                <w:szCs w:val="6"/>
                <w:color w:val="auto"/>
              </w:rPr>
            </w:pPr>
          </w:p>
        </w:tc>
      </w:tr>
    </w:tbl>
    <w:p>
      <w:pPr>
        <w:spacing w:after="0" w:line="136"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Same Store Sales Growth reflects the change in year-over-year sales for the comparable store base, which we define as stores open for 18 months or longer.</w:t>
      </w:r>
    </w:p>
    <w:p>
      <w:pPr>
        <w:spacing w:after="0" w:line="24" w:lineRule="exact"/>
        <w:rPr>
          <w:rFonts w:ascii="Arial" w:cs="Arial" w:eastAsia="Arial" w:hAnsi="Arial"/>
          <w:sz w:val="13"/>
          <w:szCs w:val="13"/>
          <w:color w:val="auto"/>
        </w:rPr>
      </w:pPr>
    </w:p>
    <w:p>
      <w:pPr>
        <w:ind w:left="340" w:right="400" w:hanging="332"/>
        <w:spacing w:after="0" w:line="260" w:lineRule="auto"/>
        <w:tabs>
          <w:tab w:leader="none" w:pos="329"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“Non-GAAP Financial Measures” for a discussion of Store-Level Profit, Store-Level Profit Margin, Adjusted EBITDA and Adjusted EBITDA margin and reconciliation of each measure to its most directly comparable GAAP measure.</w:t>
      </w:r>
    </w:p>
    <w:p>
      <w:pPr>
        <w:ind w:left="340" w:right="60" w:hanging="332"/>
        <w:spacing w:after="0" w:line="282" w:lineRule="auto"/>
        <w:tabs>
          <w:tab w:leader="none" w:pos="329"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Company does not consider income (loss) from operations, income (loss) from operations margin, net income (loss) or net income (loss) margin to be key performance measures but has included such metrics in this table to provide the most directly comparable GAAP metric to Store-Level Profit, Store-Level Profit Margin, Adjusted EBITDA and Adjusted EBITDA Margin.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New Store Openings</w:t>
      </w:r>
    </w:p>
    <w:p>
      <w:pPr>
        <w:spacing w:after="0" w:line="142"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Net New Store Openings reflect the number of stores opened during a particular reporting period, net of any permanent store closures during the same period. Before we open new stores, we incur pre-opening costs as described below. The opening of new stores has been and is expected to continue to be the primary driver of revenue growth. The total number of new store openings has, and will continue to have, an impact on our results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Same Store Sales Growth</w:t>
      </w:r>
    </w:p>
    <w:p>
      <w:pPr>
        <w:spacing w:after="0" w:line="15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Same Store Sales Growth is defined as the period-over-period sales comparison for stores in our comparable store base, which we define as stores that have been open for 18 months or longer. We use Same Store Sales Growth to assess the performance of existing stores that have been open for 18 months or longer, as the impact of new store openings is excluded.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2026 and 2025, there were 144 stores and 121 stores, respectively, in our comparable store base.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Unit Volume</w:t>
      </w:r>
    </w:p>
    <w:p>
      <w:pPr>
        <w:spacing w:after="0" w:line="14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AUV represents total trailing twelve-month store revenue of operating stores in the comparable store base, divided by the number of stores in the comparable store base. We use AUV to assess and understand changes in spending patterns and overall performance. AUV is impacted by changes in guest traffic and the number of newer stores that are included in calculating AUVs.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revenue</w:t>
      </w:r>
    </w:p>
    <w:p>
      <w:pPr>
        <w:spacing w:after="0" w:line="15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Store revenue represents all revenue attributable to our stores in the specified period. We use store revenue to evaluate and track the aggregate beverage and food sales in our stores. Several factors affect store revenue in any given period, including number of stores open, same store sales and guest traffic.</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Store-Level Profit and Store-Level Profit Margin</w:t>
      </w:r>
    </w:p>
    <w:p>
      <w:pPr>
        <w:spacing w:after="0" w:line="15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Store-Level Profit represents store revenue in the specific period less beverage, food and packaging, labor and related expenses, occupancy and related expenses, and other store operating expenses, excluding depreciation and amortization and pre-opening costs in the period.</w:t>
      </w:r>
    </w:p>
    <w:p>
      <w:pPr>
        <w:spacing w:after="0" w:line="8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Store-Level Profit Margin represents Store-Level Profit as a percentage of store revenue. We use Store-Level Profit and Store-Level Profit Margin in our evaluation of the performance and profitability of each store.</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Store-Level Profit and Store-Level Profit Margin to supplement GAAP measures of performance in the evaluation of the effectiveness of our business strategies, to make budgeting decisions, and to compare our performance against that of other peer companies using similar measures. See “Non-GAAP Financial Measures” below for our reconciliation of Store-Level Profit to income from operations and Store-Level Profit Margin to income from operations margin.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5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Adjusted EBITDA is net income (loss) adjusted to exclude interest expense, net, income tax expense, and depreciation and amortization, further adjusted to exclude certain items that we do not consider indicative of our ongoing operating performance, including transaction costs associated with our IPO, capital restructuring costs, equity-based compensation, gain (loss) on the remeasurement of the liability related to the TRA, certain litigation costs, net, and other non-core costs. Adjusted EBITDA Margin is Adjusted EBITDA as a percentage of Total revenue. We use Adjusted EBITDA and Adjusted EBITDA Margin to supplement GAAP measures of performance in the evaluation of the effectiveness of our business strategies, to make budgeting decisions, and to compare our performance against that of other peer companies using similar measures. See “Non-GAAP Financial Measures” below for our reconciliation of Adjusted EBITDA to net loss and Adjusted EBITDA Margin to net loss margin.</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store operating weeks</w:t>
      </w:r>
    </w:p>
    <w:p>
      <w:pPr>
        <w:spacing w:after="0" w:line="156"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Total store operating weeks are calculated based on the number of operating days for the store base and dividing by seven. Our store base is defined as stores open as of the period end date. Management uses this metric as an indicator of our overall financial health, growth and future expansion prospects.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Components of Results of Operations</w:t>
      </w:r>
    </w:p>
    <w:p>
      <w:pPr>
        <w:spacing w:after="0" w:line="14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 xml:space="preserve">Store revenue </w:t>
      </w:r>
      <w:r>
        <w:rPr>
          <w:rFonts w:ascii="Arial" w:cs="Arial" w:eastAsia="Arial" w:hAnsi="Arial"/>
          <w:sz w:val="18"/>
          <w:szCs w:val="18"/>
          <w:color w:val="auto"/>
        </w:rPr>
        <w:t>represents the aggregate sales of beverages and food, net of discounts at our stores and gift card and loyalty breakage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includes sales of online retail products, net of discounts, and other non-store 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Operating costs and expenses</w:t>
      </w:r>
    </w:p>
    <w:p>
      <w:pPr>
        <w:spacing w:after="0" w:line="142"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Our store operating costs and expenses consist of (i) beverage, food and packaging costs, (ii) labor and related expenses, (iii) occupancy and related expenses and (iv) other store operating expenses.</w:t>
      </w:r>
    </w:p>
    <w:p>
      <w:pPr>
        <w:spacing w:after="0" w:line="85"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b w:val="1"/>
          <w:bCs w:val="1"/>
          <w:i w:val="1"/>
          <w:iCs w:val="1"/>
          <w:color w:val="auto"/>
        </w:rPr>
        <w:t xml:space="preserve">Beverage, food and packaging costs </w:t>
      </w:r>
      <w:r>
        <w:rPr>
          <w:rFonts w:ascii="Arial" w:cs="Arial" w:eastAsia="Arial" w:hAnsi="Arial"/>
          <w:sz w:val="18"/>
          <w:szCs w:val="18"/>
          <w:color w:val="auto"/>
        </w:rPr>
        <w:t>consists primarily of beverage, food and packaging costs, including manufacturing costs and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associated with our production facilities. The components of beverage, food and packaging costs are variable by nature, change with sales volume, are impacted by menu mix and subject to increases or decreases in commodity costs.</w:t>
      </w:r>
    </w:p>
    <w:p>
      <w:pPr>
        <w:spacing w:after="0" w:line="103"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 xml:space="preserve">Labor and related expenses </w:t>
      </w:r>
      <w:r>
        <w:rPr>
          <w:rFonts w:ascii="Arial" w:cs="Arial" w:eastAsia="Arial" w:hAnsi="Arial"/>
          <w:sz w:val="18"/>
          <w:szCs w:val="18"/>
          <w:color w:val="auto"/>
        </w:rPr>
        <w:t>includes all store-level management and hourly labor costs, including salaries, wages, benefits, bonuses,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payroll taxes and other indirect labor costs. Factors that influence labor costs include the minimum wage in the jurisdictions in which we operate, payroll tax legislation, inflation, the strength of the labor market for hourly team members, benefit costs, health care costs, and the number, size, and location of stores.</w:t>
      </w:r>
    </w:p>
    <w:p>
      <w:pPr>
        <w:spacing w:after="0" w:line="9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Occupancy and related expenses </w:t>
      </w:r>
      <w:r>
        <w:rPr>
          <w:rFonts w:ascii="Arial" w:cs="Arial" w:eastAsia="Arial" w:hAnsi="Arial"/>
          <w:sz w:val="18"/>
          <w:szCs w:val="18"/>
          <w:color w:val="auto"/>
        </w:rPr>
        <w:t>consists of store-level occupancy including rent, common area expenses, real estate and other taxes.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excludes expenses associated with unopened stores, which are recorded in pre-opening costs. Occupancy varies from location to location and is impacted by macroeconomic conditions, including inflation.</w:t>
      </w:r>
    </w:p>
    <w:p>
      <w:pPr>
        <w:spacing w:after="0" w:line="10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 xml:space="preserve">Other store operating expenses </w:t>
      </w:r>
      <w:r>
        <w:rPr>
          <w:rFonts w:ascii="Arial" w:cs="Arial" w:eastAsia="Arial" w:hAnsi="Arial"/>
          <w:sz w:val="18"/>
          <w:szCs w:val="18"/>
          <w:color w:val="auto"/>
        </w:rPr>
        <w:t>includes credit card fees, repairs and maintenance, utilities, software subscriptions, property taxes,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operating expenses, incidental to operating our stores, such as store supplies, insurance, business permits and travel expense.</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includes expenses associated with our corporate function that supports the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operation of stores, including compensation and benefits, equity-based compensation, insurance, professional fees, technology support, travel expenses, certain marketing and advertising costs, and other costs related to our corporate offices and support teams.</w:t>
      </w:r>
    </w:p>
    <w:p>
      <w:pPr>
        <w:spacing w:after="0" w:line="90" w:lineRule="exact"/>
        <w:rPr>
          <w:sz w:val="20"/>
          <w:szCs w:val="20"/>
          <w:color w:val="auto"/>
        </w:rPr>
      </w:pPr>
    </w:p>
    <w:p>
      <w:pPr>
        <w:ind w:right="880"/>
        <w:spacing w:after="0" w:line="28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consists of depreciation of fixed assets including all equipment and leasehold improvements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intangible assets such as reacquired franchise rights and trademarks.</w:t>
      </w:r>
    </w:p>
    <w:p>
      <w:pPr>
        <w:spacing w:after="0" w:line="8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consists of grand opening expenses and start-up and promotional costs incurred prior to opening a new store and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up of labor, relocation costs, supplies, recruiting expenses, payroll and training costs, travel costs and marketing costs. Pre-opening costs also include occupancy costs recorded during the period between the date of possession and the date we begin operations at a location. Pre-opening costs are expensed as incurred.</w:t>
      </w:r>
    </w:p>
    <w:p>
      <w:pPr>
        <w:spacing w:after="0" w:line="109"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includes cash and non-cash charges related to our finance obligations, Prior Credit Facility and New Credit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the amortization of debt issuance costs and loan modification fees, net of capitalized interest associated with borrowings related to eligible capital expenditures and interest income earned on our related party note receivable and cash and cash equivalents.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consists of miscellaneous income and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consists of federal and state current and deferred income tax expense.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2026 and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340" w:type="dxa"/>
            <w:vAlign w:val="bottom"/>
          </w:tcPr>
          <w:p>
            <w:pPr>
              <w:spacing w:after="0"/>
              <w:rPr>
                <w:sz w:val="19"/>
                <w:szCs w:val="19"/>
                <w:color w:val="auto"/>
              </w:rPr>
            </w:pPr>
          </w:p>
        </w:tc>
        <w:tc>
          <w:tcPr>
            <w:tcW w:w="1420" w:type="dxa"/>
            <w:vAlign w:val="bottom"/>
            <w:gridSpan w:val="3"/>
          </w:tcPr>
          <w:p>
            <w:pPr>
              <w:ind w:left="720"/>
              <w:spacing w:after="0"/>
              <w:rPr>
                <w:sz w:val="20"/>
                <w:szCs w:val="20"/>
                <w:color w:val="auto"/>
              </w:rPr>
            </w:pPr>
            <w:r>
              <w:rPr>
                <w:rFonts w:ascii="Arial" w:cs="Arial" w:eastAsia="Arial" w:hAnsi="Arial"/>
                <w:sz w:val="16"/>
                <w:szCs w:val="16"/>
                <w:b w:val="1"/>
                <w:bCs w:val="1"/>
                <w:color w:val="auto"/>
              </w:rPr>
              <w:t>Change</w:t>
            </w:r>
          </w:p>
        </w:tc>
        <w:tc>
          <w:tcPr>
            <w:tcW w:w="960" w:type="dxa"/>
            <w:vAlign w:val="bottom"/>
          </w:tcPr>
          <w:p>
            <w:pPr>
              <w:spacing w:after="0"/>
              <w:rPr>
                <w:sz w:val="19"/>
                <w:szCs w:val="19"/>
                <w:color w:val="auto"/>
              </w:rPr>
            </w:pPr>
          </w:p>
        </w:tc>
      </w:tr>
      <w:tr>
        <w:trPr>
          <w:trHeight w:val="23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26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6"/>
                <w:szCs w:val="16"/>
                <w:b w:val="1"/>
                <w:bCs w:val="1"/>
                <w:color w:val="auto"/>
              </w:rPr>
              <w:t>%</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Store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r>
      <w:tr>
        <w:trPr>
          <w:trHeight w:val="247"/>
        </w:trPr>
        <w:tc>
          <w:tcPr>
            <w:tcW w:w="520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52.2 %</w:t>
            </w:r>
          </w:p>
        </w:tc>
      </w:tr>
      <w:tr>
        <w:trPr>
          <w:trHeight w:val="23"/>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23.7 %</w:t>
            </w:r>
          </w:p>
        </w:tc>
      </w:tr>
      <w:tr>
        <w:trPr>
          <w:trHeight w:val="204"/>
        </w:trPr>
        <w:tc>
          <w:tcPr>
            <w:tcW w:w="5200" w:type="dxa"/>
            <w:vAlign w:val="bottom"/>
          </w:tcPr>
          <w:p>
            <w:pPr>
              <w:ind w:left="20"/>
              <w:spacing w:after="0" w:line="204" w:lineRule="exact"/>
              <w:rPr>
                <w:sz w:val="20"/>
                <w:szCs w:val="20"/>
                <w:color w:val="auto"/>
              </w:rPr>
            </w:pPr>
            <w:r>
              <w:rPr>
                <w:rFonts w:ascii="Arial" w:cs="Arial" w:eastAsia="Arial" w:hAnsi="Arial"/>
                <w:sz w:val="18"/>
                <w:szCs w:val="18"/>
                <w:color w:val="auto"/>
              </w:rPr>
              <w:t>Store operating costs and expenses (exclusive of depreciation</w:t>
            </w: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39"/>
        </w:trPr>
        <w:tc>
          <w:tcPr>
            <w:tcW w:w="5200" w:type="dxa"/>
            <w:vAlign w:val="bottom"/>
          </w:tcPr>
          <w:p>
            <w:pPr>
              <w:ind w:left="20"/>
              <w:spacing w:after="0"/>
              <w:rPr>
                <w:sz w:val="20"/>
                <w:szCs w:val="20"/>
                <w:color w:val="auto"/>
              </w:rPr>
            </w:pPr>
            <w:r>
              <w:rPr>
                <w:rFonts w:ascii="Arial" w:cs="Arial" w:eastAsia="Arial" w:hAnsi="Arial"/>
                <w:sz w:val="18"/>
                <w:szCs w:val="18"/>
                <w:color w:val="auto"/>
              </w:rPr>
              <w:t>and amortization presented separately below):</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Beverage, food and packaging costs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47"/>
        </w:trPr>
        <w:tc>
          <w:tcPr>
            <w:tcW w:w="5200" w:type="dxa"/>
            <w:vAlign w:val="bottom"/>
          </w:tcPr>
          <w:p>
            <w:pPr>
              <w:ind w:left="240"/>
              <w:spacing w:after="0"/>
              <w:rPr>
                <w:sz w:val="20"/>
                <w:szCs w:val="20"/>
                <w:color w:val="auto"/>
              </w:rPr>
            </w:pPr>
            <w:r>
              <w:rPr>
                <w:rFonts w:ascii="Arial" w:cs="Arial" w:eastAsia="Arial" w:hAnsi="Arial"/>
                <w:sz w:val="18"/>
                <w:szCs w:val="18"/>
                <w:color w:val="auto"/>
              </w:rPr>
              <w:t>Labor and related expenses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11,475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21.8 %</w:t>
            </w: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Occupancy and related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r>
      <w:tr>
        <w:trPr>
          <w:trHeight w:val="247"/>
        </w:trPr>
        <w:tc>
          <w:tcPr>
            <w:tcW w:w="5200" w:type="dxa"/>
            <w:vAlign w:val="bottom"/>
          </w:tcPr>
          <w:p>
            <w:pPr>
              <w:ind w:left="240"/>
              <w:spacing w:after="0"/>
              <w:rPr>
                <w:sz w:val="20"/>
                <w:szCs w:val="20"/>
                <w:color w:val="auto"/>
              </w:rPr>
            </w:pPr>
            <w:r>
              <w:rPr>
                <w:rFonts w:ascii="Arial" w:cs="Arial" w:eastAsia="Arial" w:hAnsi="Arial"/>
                <w:sz w:val="18"/>
                <w:szCs w:val="18"/>
                <w:color w:val="auto"/>
              </w:rPr>
              <w:t>Other store operating expenses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1,543</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24.7 %</w:t>
            </w:r>
          </w:p>
        </w:tc>
      </w:tr>
      <w:tr>
        <w:trPr>
          <w:trHeight w:val="23"/>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store operating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6,907</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r>
      <w:tr>
        <w:trPr>
          <w:trHeight w:val="247"/>
        </w:trPr>
        <w:tc>
          <w:tcPr>
            <w:tcW w:w="520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34.3 %</w:t>
            </w: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r>
      <w:tr>
        <w:trPr>
          <w:trHeight w:val="247"/>
        </w:trPr>
        <w:tc>
          <w:tcPr>
            <w:tcW w:w="5200" w:type="dxa"/>
            <w:vAlign w:val="bottom"/>
          </w:tcPr>
          <w:p>
            <w:pPr>
              <w:ind w:left="20"/>
              <w:spacing w:after="0"/>
              <w:rPr>
                <w:sz w:val="20"/>
                <w:szCs w:val="20"/>
                <w:color w:val="auto"/>
              </w:rPr>
            </w:pPr>
            <w:r>
              <w:rPr>
                <w:rFonts w:ascii="Arial" w:cs="Arial" w:eastAsia="Arial" w:hAnsi="Arial"/>
                <w:sz w:val="18"/>
                <w:szCs w:val="18"/>
                <w:color w:val="auto"/>
              </w:rPr>
              <w:t>Pre-opening costs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51.5 %</w:t>
            </w:r>
          </w:p>
        </w:tc>
      </w:tr>
      <w:tr>
        <w:trPr>
          <w:trHeight w:val="23"/>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3"/>
        </w:trPr>
        <w:tc>
          <w:tcPr>
            <w:tcW w:w="5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24.0 %</w:t>
            </w:r>
          </w:p>
        </w:tc>
      </w:tr>
      <w:tr>
        <w:trPr>
          <w:trHeight w:val="241"/>
        </w:trPr>
        <w:tc>
          <w:tcPr>
            <w:tcW w:w="52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18.9 %</w:t>
            </w: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r>
      <w:tr>
        <w:trPr>
          <w:trHeight w:val="247"/>
        </w:trPr>
        <w:tc>
          <w:tcPr>
            <w:tcW w:w="5200" w:type="dxa"/>
            <w:vAlign w:val="bottom"/>
          </w:tcPr>
          <w:p>
            <w:pPr>
              <w:ind w:left="24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2,246.7 %</w:t>
            </w:r>
          </w:p>
        </w:tc>
      </w:tr>
      <w:tr>
        <w:trPr>
          <w:trHeight w:val="23"/>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336.0 %</w:t>
            </w:r>
          </w:p>
        </w:tc>
      </w:tr>
      <w:tr>
        <w:trPr>
          <w:trHeight w:val="247"/>
        </w:trPr>
        <w:tc>
          <w:tcPr>
            <w:tcW w:w="5200" w:type="dxa"/>
            <w:vAlign w:val="bottom"/>
          </w:tcPr>
          <w:p>
            <w:pPr>
              <w:ind w:left="2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32.1 %</w:t>
            </w:r>
          </w:p>
        </w:tc>
      </w:tr>
      <w:tr>
        <w:trPr>
          <w:trHeight w:val="23"/>
        </w:trPr>
        <w:tc>
          <w:tcPr>
            <w:tcW w:w="5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303.5 %</w:t>
            </w:r>
          </w:p>
        </w:tc>
      </w:tr>
      <w:tr>
        <w:trPr>
          <w:trHeight w:val="54"/>
        </w:trPr>
        <w:tc>
          <w:tcPr>
            <w:tcW w:w="52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Store revenue</w:t>
      </w:r>
    </w:p>
    <w:p>
      <w:pPr>
        <w:spacing w:after="0" w:line="15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Store revenue increased $10.6 million, or 23.7%, to $55.4 million for the three months ended March 31, 2026, compared to $44.8 million for the three months ended March 31, 2025. The increase in store revenue was primarily driven by 36 Net New Store Openings subsequent to March 31, 2025, which contributed $ 7.5 million, in the three months ended March 31, 2026. The increase was also driven by 10 stores opened prior to March 31, 2025 that are not yet in the comparable store base, which contributed an incremental $0.8 million for the three months ended March 31, 2026, in addition to the $2.0 million these 10 stores contributed for the three months ended March 31, 2025. The remainder of the increase was primarily driven by Same Store Sales Growth of 5.2%, which contributed $2.2 million, which consists of 3.0%, or $1.3 million, from menu price increases, and 2.8%, or $1.2 million, from increased check size for the three months ended March 31, 2026, compared to the three months ended March 31, 2025, partially offset by a decrease of 0.6%, or $0.3 million, as a result of decreased traffic.</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Other increased $24 thousand, or 52.2%, to $70 thousand for the three months ended March 31, 2026, compared to $46 thousand for the three months ended March 31, 2025. The increase in other was primarily driven by an increase in online and subscription bean sales for the three months ended March 31, 2026 compared to the three months ended March 31, 2025.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Beverage, food and packaging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980" w:type="dxa"/>
            <w:vAlign w:val="bottom"/>
          </w:tcPr>
          <w:p>
            <w:pPr>
              <w:spacing w:after="0"/>
              <w:rPr>
                <w:sz w:val="19"/>
                <w:szCs w:val="19"/>
                <w:color w:val="auto"/>
              </w:rPr>
            </w:pPr>
          </w:p>
        </w:tc>
        <w:tc>
          <w:tcPr>
            <w:tcW w:w="1320" w:type="dxa"/>
            <w:vAlign w:val="bottom"/>
            <w:gridSpan w:val="3"/>
          </w:tcPr>
          <w:p>
            <w:pPr>
              <w:ind w:left="48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spacing w:after="0"/>
              <w:rPr>
                <w:sz w:val="19"/>
                <w:szCs w:val="19"/>
                <w:color w:val="auto"/>
              </w:rPr>
            </w:pPr>
          </w:p>
        </w:tc>
      </w:tr>
      <w:tr>
        <w:trPr>
          <w:trHeight w:val="237"/>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4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w:t>
            </w:r>
          </w:p>
        </w:tc>
      </w:tr>
      <w:tr>
        <w:trPr>
          <w:trHeight w:val="24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Beverage, food and packaging costs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15,013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12,682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27.1 %</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28.3 %</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gridSpan w:val="3"/>
          </w:tcPr>
          <w:p>
            <w:pPr>
              <w:ind w:left="380"/>
              <w:spacing w:after="0"/>
              <w:rPr>
                <w:sz w:val="20"/>
                <w:szCs w:val="20"/>
                <w:color w:val="auto"/>
              </w:rPr>
            </w:pPr>
            <w:r>
              <w:rPr>
                <w:rFonts w:ascii="Arial" w:cs="Arial" w:eastAsia="Arial" w:hAnsi="Arial"/>
                <w:sz w:val="18"/>
                <w:szCs w:val="18"/>
                <w:i w:val="1"/>
                <w:iCs w:val="1"/>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77"/>
        </w:trPr>
        <w:tc>
          <w:tcPr>
            <w:tcW w:w="39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Beverage, food and packaging costs increased $2.3 million, or 18.4%, to $15.0 million for the three months ended March 31, 2026, compared to $12.7 million for the three months ended March 31, 2025. The increase in beverage, food and packaging costs was primarily driven by 36 Net New Store Openings subsequent to March 31, 2025, which contributed approximately $2.0 million of incremental expense.</w:t>
      </w:r>
    </w:p>
    <w:p>
      <w:pPr>
        <w:spacing w:after="0" w:line="9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As a percentage of total revenue, beverage, food and packaging costs decreased for the three months ended March 31, 2026 primarily due to lower discounting and improvements in operating efficiencies.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8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1000" w:type="dxa"/>
            <w:vAlign w:val="bottom"/>
          </w:tcPr>
          <w:p>
            <w:pPr>
              <w:spacing w:after="0"/>
              <w:rPr>
                <w:sz w:val="19"/>
                <w:szCs w:val="19"/>
                <w:color w:val="auto"/>
              </w:rPr>
            </w:pPr>
          </w:p>
        </w:tc>
        <w:tc>
          <w:tcPr>
            <w:tcW w:w="1300" w:type="dxa"/>
            <w:vAlign w:val="bottom"/>
            <w:gridSpan w:val="3"/>
          </w:tcPr>
          <w:p>
            <w:pPr>
              <w:ind w:left="460"/>
              <w:spacing w:after="0"/>
              <w:rPr>
                <w:sz w:val="20"/>
                <w:szCs w:val="20"/>
                <w:color w:val="auto"/>
              </w:rPr>
            </w:pPr>
            <w:r>
              <w:rPr>
                <w:rFonts w:ascii="Arial" w:cs="Arial" w:eastAsia="Arial" w:hAnsi="Arial"/>
                <w:sz w:val="16"/>
                <w:szCs w:val="16"/>
                <w:b w:val="1"/>
                <w:bCs w:val="1"/>
                <w:color w:val="auto"/>
              </w:rPr>
              <w:t>Change</w:t>
            </w:r>
          </w:p>
        </w:tc>
        <w:tc>
          <w:tcPr>
            <w:tcW w:w="1220" w:type="dxa"/>
            <w:vAlign w:val="bottom"/>
          </w:tcPr>
          <w:p>
            <w:pPr>
              <w:spacing w:after="0"/>
              <w:rPr>
                <w:sz w:val="19"/>
                <w:szCs w:val="19"/>
                <w:color w:val="auto"/>
              </w:rPr>
            </w:pPr>
          </w:p>
        </w:tc>
      </w:tr>
      <w:tr>
        <w:trPr>
          <w:trHeight w:val="237"/>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40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w:t>
            </w:r>
          </w:p>
        </w:tc>
      </w:tr>
      <w:tr>
        <w:trPr>
          <w:trHeight w:val="24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 and related expenses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11,475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9,419</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gridSpan w:val="3"/>
          </w:tcPr>
          <w:p>
            <w:pPr>
              <w:ind w:left="380"/>
              <w:spacing w:after="0"/>
              <w:rPr>
                <w:sz w:val="20"/>
                <w:szCs w:val="20"/>
                <w:color w:val="auto"/>
              </w:rPr>
            </w:pPr>
            <w:r>
              <w:rPr>
                <w:rFonts w:ascii="Arial" w:cs="Arial" w:eastAsia="Arial" w:hAnsi="Arial"/>
                <w:sz w:val="18"/>
                <w:szCs w:val="18"/>
                <w:i w:val="1"/>
                <w:iCs w:val="1"/>
                <w:color w:val="auto"/>
              </w:rPr>
              <w:t>n/a</w:t>
            </w:r>
          </w:p>
        </w:tc>
        <w:tc>
          <w:tcPr>
            <w:tcW w:w="12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77"/>
        </w:trPr>
        <w:tc>
          <w:tcPr>
            <w:tcW w:w="39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Labor and related expenses increased $2.1 million, or 21.8%, to $11.5 million for the three months ended March 31, 2026, compared to $9.4 million for the three months ended March 31, 2025. The increase in labor and related expenses was primarily driven by 36 Net New Store Openings subsequent to March 31, 2025, which contributed approximately $1.9 million in incremental expense, as well as an increase in prevailing wage rates in three of our markets.</w:t>
      </w:r>
    </w:p>
    <w:p>
      <w:pPr>
        <w:spacing w:after="0" w:line="10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As a percentage of total revenue, labor and related expenses decreased for the three months ended March 31, 2026 primarily due to our ongoing efforts to improve employee retention and operational efficiency.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80" w:type="dxa"/>
            <w:vAlign w:val="bottom"/>
          </w:tcPr>
          <w:p>
            <w:pPr>
              <w:spacing w:after="0"/>
              <w:rPr>
                <w:sz w:val="19"/>
                <w:szCs w:val="19"/>
                <w:color w:val="auto"/>
              </w:rPr>
            </w:pPr>
          </w:p>
        </w:tc>
        <w:tc>
          <w:tcPr>
            <w:tcW w:w="3720" w:type="dxa"/>
            <w:vAlign w:val="bottom"/>
            <w:gridSpan w:val="6"/>
          </w:tcPr>
          <w:p>
            <w:pPr>
              <w:ind w:left="620"/>
              <w:spacing w:after="0"/>
              <w:rPr>
                <w:sz w:val="20"/>
                <w:szCs w:val="20"/>
                <w:color w:val="auto"/>
              </w:rPr>
            </w:pPr>
            <w:r>
              <w:rPr>
                <w:rFonts w:ascii="Arial" w:cs="Arial" w:eastAsia="Arial" w:hAnsi="Arial"/>
                <w:sz w:val="16"/>
                <w:szCs w:val="16"/>
                <w:b w:val="1"/>
                <w:bCs w:val="1"/>
                <w:color w:val="auto"/>
              </w:rPr>
              <w:t>Three Months Ended March 31,</w:t>
            </w:r>
          </w:p>
        </w:tc>
        <w:tc>
          <w:tcPr>
            <w:tcW w:w="1020" w:type="dxa"/>
            <w:vAlign w:val="bottom"/>
          </w:tcPr>
          <w:p>
            <w:pPr>
              <w:spacing w:after="0"/>
              <w:rPr>
                <w:sz w:val="19"/>
                <w:szCs w:val="19"/>
                <w:color w:val="auto"/>
              </w:rPr>
            </w:pPr>
          </w:p>
        </w:tc>
        <w:tc>
          <w:tcPr>
            <w:tcW w:w="1240" w:type="dxa"/>
            <w:vAlign w:val="bottom"/>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1180" w:type="dxa"/>
            <w:vAlign w:val="bottom"/>
          </w:tcPr>
          <w:p>
            <w:pPr>
              <w:spacing w:after="0"/>
              <w:rPr>
                <w:sz w:val="19"/>
                <w:szCs w:val="19"/>
                <w:color w:val="auto"/>
              </w:rPr>
            </w:pPr>
          </w:p>
        </w:tc>
      </w:tr>
      <w:tr>
        <w:trPr>
          <w:trHeight w:val="236"/>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7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w:t>
            </w:r>
          </w:p>
        </w:tc>
        <w:tc>
          <w:tcPr>
            <w:tcW w:w="5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6"/>
                <w:szCs w:val="16"/>
                <w:b w:val="1"/>
                <w:bCs w:val="1"/>
                <w:color w:val="auto"/>
              </w:rPr>
              <w:t>%</w:t>
            </w:r>
          </w:p>
        </w:tc>
      </w:tr>
      <w:tr>
        <w:trPr>
          <w:trHeight w:val="247"/>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Occupancy and related expenses</w:t>
            </w:r>
          </w:p>
        </w:tc>
        <w:tc>
          <w:tcPr>
            <w:tcW w:w="106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4,725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3,748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r>
      <w:tr>
        <w:trPr>
          <w:trHeight w:val="247"/>
        </w:trPr>
        <w:tc>
          <w:tcPr>
            <w:tcW w:w="408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i w:val="1"/>
                <w:iCs w:val="1"/>
                <w:color w:val="auto"/>
              </w:rPr>
              <w:t>n/a</w:t>
            </w:r>
          </w:p>
        </w:tc>
        <w:tc>
          <w:tcPr>
            <w:tcW w:w="118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77"/>
        </w:trPr>
        <w:tc>
          <w:tcPr>
            <w:tcW w:w="40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Occupancy and related expenses increased $1.0 million, or 26.1%, to $4.7 million for the three months ended March 31, 2026, compared to $3.7 million for the three months ended March 31, 2025. The increase in occupancy and related expenses was primarily due to 36 Net New Store Openings subsequent to March 31, 2025, which contributed approximately $1.0 million in incremental expense.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40" w:type="dxa"/>
            <w:vAlign w:val="bottom"/>
          </w:tcPr>
          <w:p>
            <w:pPr>
              <w:spacing w:after="0"/>
              <w:rPr>
                <w:sz w:val="19"/>
                <w:szCs w:val="19"/>
                <w:color w:val="auto"/>
              </w:rPr>
            </w:pPr>
          </w:p>
        </w:tc>
        <w:tc>
          <w:tcPr>
            <w:tcW w:w="3780" w:type="dxa"/>
            <w:vAlign w:val="bottom"/>
            <w:gridSpan w:val="6"/>
          </w:tcPr>
          <w:p>
            <w:pPr>
              <w:ind w:left="660"/>
              <w:spacing w:after="0"/>
              <w:rPr>
                <w:sz w:val="20"/>
                <w:szCs w:val="20"/>
                <w:color w:val="auto"/>
              </w:rPr>
            </w:pPr>
            <w:r>
              <w:rPr>
                <w:rFonts w:ascii="Arial" w:cs="Arial" w:eastAsia="Arial" w:hAnsi="Arial"/>
                <w:sz w:val="16"/>
                <w:szCs w:val="16"/>
                <w:b w:val="1"/>
                <w:bCs w:val="1"/>
                <w:color w:val="auto"/>
              </w:rPr>
              <w:t>Three Months Ended March 31,</w:t>
            </w:r>
          </w:p>
        </w:tc>
        <w:tc>
          <w:tcPr>
            <w:tcW w:w="1000" w:type="dxa"/>
            <w:vAlign w:val="bottom"/>
          </w:tcPr>
          <w:p>
            <w:pPr>
              <w:spacing w:after="0"/>
              <w:rPr>
                <w:sz w:val="19"/>
                <w:szCs w:val="19"/>
                <w:color w:val="auto"/>
              </w:rPr>
            </w:pPr>
          </w:p>
        </w:tc>
        <w:tc>
          <w:tcPr>
            <w:tcW w:w="1300" w:type="dxa"/>
            <w:vAlign w:val="bottom"/>
            <w:gridSpan w:val="3"/>
          </w:tcPr>
          <w:p>
            <w:pPr>
              <w:ind w:left="460"/>
              <w:spacing w:after="0"/>
              <w:rPr>
                <w:sz w:val="20"/>
                <w:szCs w:val="20"/>
                <w:color w:val="auto"/>
              </w:rPr>
            </w:pPr>
            <w:r>
              <w:rPr>
                <w:rFonts w:ascii="Arial" w:cs="Arial" w:eastAsia="Arial" w:hAnsi="Arial"/>
                <w:sz w:val="16"/>
                <w:szCs w:val="16"/>
                <w:b w:val="1"/>
                <w:bCs w:val="1"/>
                <w:color w:val="auto"/>
              </w:rPr>
              <w:t>Change</w:t>
            </w:r>
          </w:p>
        </w:tc>
        <w:tc>
          <w:tcPr>
            <w:tcW w:w="1220" w:type="dxa"/>
            <w:vAlign w:val="bottom"/>
          </w:tcPr>
          <w:p>
            <w:pPr>
              <w:spacing w:after="0"/>
              <w:rPr>
                <w:sz w:val="19"/>
                <w:szCs w:val="19"/>
                <w:color w:val="auto"/>
              </w:rPr>
            </w:pPr>
          </w:p>
        </w:tc>
      </w:tr>
      <w:tr>
        <w:trPr>
          <w:trHeight w:val="237"/>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7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w:t>
            </w:r>
          </w:p>
        </w:tc>
        <w:tc>
          <w:tcPr>
            <w:tcW w:w="6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w:t>
            </w:r>
          </w:p>
        </w:tc>
      </w:tr>
      <w:tr>
        <w:trPr>
          <w:trHeight w:val="247"/>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store operating expenses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7,782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6,239</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14.0 %</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13.9 %</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gridSpan w:val="3"/>
          </w:tcPr>
          <w:p>
            <w:pPr>
              <w:ind w:left="380"/>
              <w:spacing w:after="0"/>
              <w:rPr>
                <w:sz w:val="20"/>
                <w:szCs w:val="20"/>
                <w:color w:val="auto"/>
              </w:rPr>
            </w:pPr>
            <w:r>
              <w:rPr>
                <w:rFonts w:ascii="Arial" w:cs="Arial" w:eastAsia="Arial" w:hAnsi="Arial"/>
                <w:sz w:val="18"/>
                <w:szCs w:val="18"/>
                <w:i w:val="1"/>
                <w:iCs w:val="1"/>
                <w:color w:val="auto"/>
              </w:rPr>
              <w:t>n/a</w:t>
            </w:r>
          </w:p>
        </w:tc>
        <w:tc>
          <w:tcPr>
            <w:tcW w:w="1220" w:type="dxa"/>
            <w:vAlign w:val="bottom"/>
          </w:tcPr>
          <w:p>
            <w:pPr>
              <w:jc w:val="right"/>
              <w:spacing w:after="0"/>
              <w:rPr>
                <w:sz w:val="20"/>
                <w:szCs w:val="20"/>
                <w:color w:val="auto"/>
              </w:rPr>
            </w:pPr>
            <w:r>
              <w:rPr>
                <w:rFonts w:ascii="Arial" w:cs="Arial" w:eastAsia="Arial" w:hAnsi="Arial"/>
                <w:sz w:val="18"/>
                <w:szCs w:val="18"/>
                <w:color w:val="auto"/>
              </w:rPr>
              <w:t>0.1 %</w:t>
            </w:r>
          </w:p>
        </w:tc>
      </w:tr>
      <w:tr>
        <w:trPr>
          <w:trHeight w:val="77"/>
        </w:trPr>
        <w:tc>
          <w:tcPr>
            <w:tcW w:w="39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Other store operating expenses increased $1.5 million, or 24.7%, to $7.8 million for the three months ended March 31, 2026, compared to $6.2 million for the three months ended March 31, 2025. The increase in other store operating expenses was primarily driven by higher delivery commissions and merchant processing fees associated with increased sales and transaction volumes, which contributed approximately $0.6 million of incremental expense and increased operating costs associated with 36 Net New Store Openings subsequent to March 31,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980" w:type="dxa"/>
            <w:vAlign w:val="bottom"/>
          </w:tcPr>
          <w:p>
            <w:pPr>
              <w:spacing w:after="0"/>
              <w:rPr>
                <w:sz w:val="19"/>
                <w:szCs w:val="19"/>
                <w:color w:val="auto"/>
              </w:rPr>
            </w:pPr>
          </w:p>
        </w:tc>
        <w:tc>
          <w:tcPr>
            <w:tcW w:w="1320" w:type="dxa"/>
            <w:vAlign w:val="bottom"/>
            <w:gridSpan w:val="3"/>
          </w:tcPr>
          <w:p>
            <w:pPr>
              <w:ind w:left="48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spacing w:after="0"/>
              <w:rPr>
                <w:sz w:val="19"/>
                <w:szCs w:val="19"/>
                <w:color w:val="auto"/>
              </w:rPr>
            </w:pPr>
          </w:p>
        </w:tc>
      </w:tr>
      <w:tr>
        <w:trPr>
          <w:trHeight w:val="237"/>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38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635"/>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w:t>
            </w:r>
          </w:p>
        </w:tc>
      </w:tr>
      <w:tr>
        <w:trPr>
          <w:trHeight w:val="247"/>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9,242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34.3 %</w:t>
            </w:r>
          </w:p>
        </w:tc>
      </w:tr>
      <w:tr>
        <w:trPr>
          <w:trHeight w:val="247"/>
        </w:trPr>
        <w:tc>
          <w:tcPr>
            <w:tcW w:w="396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3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320" w:type="dxa"/>
            <w:vAlign w:val="bottom"/>
            <w:gridSpan w:val="3"/>
          </w:tcPr>
          <w:p>
            <w:pPr>
              <w:ind w:left="380"/>
              <w:spacing w:after="0"/>
              <w:rPr>
                <w:sz w:val="20"/>
                <w:szCs w:val="20"/>
                <w:color w:val="auto"/>
              </w:rPr>
            </w:pPr>
            <w:r>
              <w:rPr>
                <w:rFonts w:ascii="Arial" w:cs="Arial" w:eastAsia="Arial" w:hAnsi="Arial"/>
                <w:sz w:val="18"/>
                <w:szCs w:val="18"/>
                <w:i w:val="1"/>
                <w:iCs w:val="1"/>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77"/>
        </w:trPr>
        <w:tc>
          <w:tcPr>
            <w:tcW w:w="39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bl>
    <w:p>
      <w:pPr>
        <w:spacing w:after="0" w:line="22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Selling, general, and administrative expenses increased $2.4 million, or 34.3%, to $ 9.2 million for the three months ended March 31, 2026, compared to $6.9 million for the three months ended March 31, 2025. The increase in selling, general, and administrative expenses was primarily driven by a $0.9 million increase in our corporate payroll expenses as a result of increased headcount to support future growth and strategic initiatives, $0.7 million of incremental public company costs and an increased investment in marketing which contributed $0.4 million of incremental expense for the three months ended March 31, 2026. The remainder of the increase was primarily driven by a $1.2 million increase in equity-based compensation, partially offset by $1.1 million of IPO-related expenses incurred during the three months ended March 31, 2025.</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Pr>
          <w:p>
            <w:pPr>
              <w:spacing w:after="0"/>
              <w:rPr>
                <w:sz w:val="19"/>
                <w:szCs w:val="19"/>
                <w:color w:val="auto"/>
              </w:rPr>
            </w:pPr>
          </w:p>
        </w:tc>
        <w:tc>
          <w:tcPr>
            <w:tcW w:w="378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 March 31,</w:t>
            </w:r>
          </w:p>
        </w:tc>
        <w:tc>
          <w:tcPr>
            <w:tcW w:w="1060" w:type="dxa"/>
            <w:vAlign w:val="bottom"/>
          </w:tcPr>
          <w:p>
            <w:pPr>
              <w:spacing w:after="0"/>
              <w:rPr>
                <w:sz w:val="19"/>
                <w:szCs w:val="19"/>
                <w:color w:val="auto"/>
              </w:rPr>
            </w:pPr>
          </w:p>
        </w:tc>
        <w:tc>
          <w:tcPr>
            <w:tcW w:w="1240" w:type="dxa"/>
            <w:vAlign w:val="bottom"/>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1200" w:type="dxa"/>
            <w:vAlign w:val="bottom"/>
          </w:tcPr>
          <w:p>
            <w:pPr>
              <w:spacing w:after="0"/>
              <w:rPr>
                <w:sz w:val="19"/>
                <w:szCs w:val="19"/>
                <w:color w:val="auto"/>
              </w:rPr>
            </w:pPr>
          </w:p>
        </w:tc>
      </w:tr>
      <w:tr>
        <w:trPr>
          <w:trHeight w:val="237"/>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7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7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w:t>
            </w:r>
          </w:p>
        </w:tc>
      </w:tr>
      <w:tr>
        <w:trPr>
          <w:trHeight w:val="247"/>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5"/>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2,883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r>
      <w:tr>
        <w:trPr>
          <w:trHeight w:val="247"/>
        </w:trPr>
        <w:tc>
          <w:tcPr>
            <w:tcW w:w="396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40" w:type="dxa"/>
            <w:vAlign w:val="bottom"/>
            <w:gridSpan w:val="3"/>
          </w:tcPr>
          <w:p>
            <w:pPr>
              <w:ind w:left="300"/>
              <w:spacing w:after="0"/>
              <w:rPr>
                <w:sz w:val="20"/>
                <w:szCs w:val="20"/>
                <w:color w:val="auto"/>
              </w:rPr>
            </w:pPr>
            <w:r>
              <w:rPr>
                <w:rFonts w:ascii="Arial" w:cs="Arial" w:eastAsia="Arial" w:hAnsi="Arial"/>
                <w:sz w:val="18"/>
                <w:szCs w:val="18"/>
                <w:i w:val="1"/>
                <w:iCs w:val="1"/>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77"/>
        </w:trPr>
        <w:tc>
          <w:tcPr>
            <w:tcW w:w="39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Depreciation and amortization increased $0.6 million, or 19.8%, to $ 3.5 million for the three months ended March 31, 2026, compared to $2.9 million for the three months ended March 31, 2025. The increase in depreciation and amortization was primarily driven by 36 Net New Store Openings subsequent to March 31, 2025.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60" w:type="dxa"/>
            <w:vAlign w:val="bottom"/>
          </w:tcPr>
          <w:p>
            <w:pPr>
              <w:spacing w:after="0"/>
              <w:rPr>
                <w:sz w:val="19"/>
                <w:szCs w:val="19"/>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ind w:left="40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19"/>
                <w:szCs w:val="19"/>
                <w:color w:val="auto"/>
              </w:rPr>
            </w:pPr>
          </w:p>
        </w:tc>
      </w:tr>
      <w:tr>
        <w:trPr>
          <w:trHeight w:val="237"/>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2025</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w:t>
            </w:r>
          </w:p>
        </w:tc>
      </w:tr>
      <w:tr>
        <w:trPr>
          <w:trHeight w:val="247"/>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7"/>
              </w:rPr>
              <w:t>1,088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718</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51.5 %</w:t>
            </w:r>
          </w:p>
        </w:tc>
      </w:tr>
      <w:tr>
        <w:trPr>
          <w:trHeight w:val="247"/>
        </w:trPr>
        <w:tc>
          <w:tcPr>
            <w:tcW w:w="3960" w:type="dxa"/>
            <w:vAlign w:val="bottom"/>
          </w:tcPr>
          <w:p>
            <w:pPr>
              <w:ind w:left="20"/>
              <w:spacing w:after="0"/>
              <w:rPr>
                <w:sz w:val="20"/>
                <w:szCs w:val="20"/>
                <w:color w:val="auto"/>
              </w:rPr>
            </w:pPr>
            <w:r>
              <w:rPr>
                <w:rFonts w:ascii="Arial" w:cs="Arial" w:eastAsia="Arial" w:hAnsi="Arial"/>
                <w:sz w:val="18"/>
                <w:szCs w:val="18"/>
                <w:color w:val="auto"/>
              </w:rPr>
              <w:t>As a percentage of Total revenue</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40" w:type="dxa"/>
            <w:vAlign w:val="bottom"/>
            <w:gridSpan w:val="3"/>
          </w:tcPr>
          <w:p>
            <w:pPr>
              <w:ind w:left="320"/>
              <w:spacing w:after="0"/>
              <w:rPr>
                <w:sz w:val="20"/>
                <w:szCs w:val="20"/>
                <w:color w:val="auto"/>
              </w:rPr>
            </w:pPr>
            <w:r>
              <w:rPr>
                <w:rFonts w:ascii="Arial" w:cs="Arial" w:eastAsia="Arial" w:hAnsi="Arial"/>
                <w:sz w:val="18"/>
                <w:szCs w:val="18"/>
                <w:i w:val="1"/>
                <w:iCs w:val="1"/>
                <w:color w:val="auto"/>
              </w:rPr>
              <w:t>n/a</w:t>
            </w:r>
          </w:p>
        </w:tc>
        <w:tc>
          <w:tcPr>
            <w:tcW w:w="122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77"/>
        </w:trPr>
        <w:tc>
          <w:tcPr>
            <w:tcW w:w="39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r>
    </w:tbl>
    <w:p>
      <w:pPr>
        <w:spacing w:after="0" w:line="21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Pre-opening costs increased $0.4 million, or 51.5%, to $1.1 million for the three months ended March 31, 2026, compared to $0.7 million for the three months ended March 31, 2025. The increase in pre-opening costs was primarily a result of increased wages and team costs as a result of 4 more Net New Store Openings for the three months ended March 31, 2026 compared to the three months ended March 31, 2025.</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2"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Interest expense, net decreased $2.6 million, or 86.1%, to $0.4 million for the three months ended March 31, 2026, compared to $3.0 million for the three months ended March 31, 2025. The decrease in interest expense, net was primarily driven by repaying all outstanding borrowings under the Prior Credit Facility and entering into the New Credit Facilities, which carry a lower interest rate and less outstanding borrowings when compared to the Prior Credit Facility.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increase of $ 337 thousand in other expense, net to $352 thousand for the three months ended March 31, 2026 from $15 thousand for the three months ended March 31, 2025 was primarily driven $351 thousand of remeasurement expense related to the TRA liability incurred during the three months ended March 31, 2026.</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was an immaterial amount for each of the three months ended March 31, 2026 and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4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addition to our condensed consolidated financial statements, which are prepared in accordance with GAAP, we present Store-Level Profit, Store-Level Profit Margin, Adjusted EBITDA and Adjusted EBITDA Margin in this Form 10-Q as supplemental measures of financial performance that are not required by, or presented in accordance with, GAAP. We believe that these non-GAAP financial measures assist investors and analysts in comparing our operating performance across reporting periods on a consistent basis by excluding items that we do not believe are indicative of our operating performance. Management believes Store-Level Profit, Store-Level Profit Margin, Adjusted EBITDA and Adjusted EBITDA Margin are useful to investors in highlighting trends in our operating performance, while other measures can differ significantly depending on long-term strategic decisions regarding capital structure, the tax jurisdictions in which we operate and capital investments. Management uses Store-Level Profit, Store-Level Profit Margin, Adjusted EBITDA and Adjusted EBITDA Margin to supplement GAAP measures of performance in the evaluation of the effectiveness of our business strategies, to make budgeting decisions and to compare our performance against that of other peer companies using similar measures. Management supplements GAAP results with non-GAAP financial measures to provide a more complete understanding of the factors and trends affecting our business than GAAP results alone provide.</w:t>
      </w:r>
    </w:p>
    <w:p>
      <w:pPr>
        <w:spacing w:after="0" w:line="10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Store-Level Profit, Store-Level Profit Margin, Adjusted EBITDA and Adjusted EBITDA Margin are not recognized terms under GAAP and should not be considered as alternatives to total revenue, net income (loss) and net income (loss) margin as measures of financial performance, or cash provided by operating activities as measures of liquidity, or any other performance measure derived in accordance with GAAP. Additionally, these measures are not intended to be measures of free cash flow available for management’s discretionary use, as they do not consider certain cash requirements such as interest payments, tax payments, and debt service requirements. Because not all companies use identical calculations, the presentation of these measures may not be comparable to other similarly titled measures of other companies and can differ significantly from company to company.</w:t>
      </w:r>
    </w:p>
    <w:p>
      <w:pPr>
        <w:spacing w:after="0" w:line="11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Our Store-Level Profit, Store-Level Profit Margin, Adjusted EBITDA and Adjusted EBITDA Margin measures have limitations as analytical tools, and you should not consider them in isolation or as substitutes for analysis of our results as reported under GAAP. Some of these limitations are:</w:t>
      </w:r>
    </w:p>
    <w:p>
      <w:pPr>
        <w:spacing w:after="0" w:line="117" w:lineRule="exact"/>
        <w:rPr>
          <w:sz w:val="20"/>
          <w:szCs w:val="20"/>
          <w:color w:val="auto"/>
        </w:rPr>
      </w:pPr>
    </w:p>
    <w:p>
      <w:pPr>
        <w:ind w:left="660" w:right="5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our cash expenditures or future requirements for capital expenditures or contractual commitments;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changes in, or cash requirements for, our working capital needs;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the interest expense, or the cash requirements necessary to service interest or principal payments, on our debts;</w:t>
      </w:r>
    </w:p>
    <w:p>
      <w:pPr>
        <w:spacing w:after="0" w:line="44"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period to period changes in taxes, income tax expense or the cash necessary to pay income taxes;</w:t>
      </w:r>
    </w:p>
    <w:p>
      <w:pPr>
        <w:spacing w:after="0" w:line="44" w:lineRule="exact"/>
        <w:rPr>
          <w:rFonts w:ascii="Arial" w:cs="Arial" w:eastAsia="Arial" w:hAnsi="Arial"/>
          <w:sz w:val="18"/>
          <w:szCs w:val="18"/>
          <w:color w:val="auto"/>
        </w:rPr>
      </w:pPr>
    </w:p>
    <w:p>
      <w:pPr>
        <w:ind w:left="660" w:right="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Store-Level Profit and Adjusted EBITDA do not reflect the impact of earnings or cash charges resulting from matters we consider not to be indicative of our ongoing operations;</w:t>
      </w:r>
    </w:p>
    <w:p>
      <w:pPr>
        <w:spacing w:after="0" w:line="44" w:lineRule="exact"/>
        <w:rPr>
          <w:rFonts w:ascii="Arial" w:cs="Arial" w:eastAsia="Arial" w:hAnsi="Arial"/>
          <w:sz w:val="18"/>
          <w:szCs w:val="18"/>
          <w:color w:val="auto"/>
        </w:rPr>
      </w:pPr>
    </w:p>
    <w:p>
      <w:pPr>
        <w:ind w:left="660" w:right="4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Store-Level Profit is not indicative of our overall results and does not accrue directly to the benefit of shareholders, as corporate-level expenses are excluded;</w:t>
      </w:r>
    </w:p>
    <w:p>
      <w:pPr>
        <w:spacing w:after="0" w:line="44" w:lineRule="exact"/>
        <w:rPr>
          <w:rFonts w:ascii="Arial" w:cs="Arial" w:eastAsia="Arial" w:hAnsi="Arial"/>
          <w:sz w:val="18"/>
          <w:szCs w:val="18"/>
          <w:color w:val="auto"/>
        </w:rPr>
      </w:pPr>
    </w:p>
    <w:p>
      <w:pPr>
        <w:ind w:left="660" w:right="46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does not reflect any cash requirements for such replacements; and</w:t>
      </w:r>
    </w:p>
    <w:p>
      <w:pPr>
        <w:spacing w:after="0" w:line="44" w:lineRule="exact"/>
        <w:rPr>
          <w:rFonts w:ascii="Arial" w:cs="Arial" w:eastAsia="Arial" w:hAnsi="Arial"/>
          <w:sz w:val="18"/>
          <w:szCs w:val="18"/>
          <w:color w:val="auto"/>
        </w:rPr>
      </w:pPr>
    </w:p>
    <w:p>
      <w:pPr>
        <w:ind w:left="660" w:right="10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in our industry may calculate Store-Level Profit, Store-Level Profit Margin, Adjusted EBITDA and Adjusted EBITDA Margin differently than we do, limiting their usefulness as comparative measures.</w:t>
      </w:r>
    </w:p>
    <w:p>
      <w:pPr>
        <w:spacing w:after="0" w:line="9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Because of these limitations, Store-Level Profit, Store-Level Profit Margin, Adjusted EBITDA and Adjusted EBITDA Margin should not be considered as measures of discretionary cash available to invest in business growth or to reduce indebtedness.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color w:val="auto"/>
        </w:rPr>
        <w:t>The following tables provide reconciliations of net income (loss) to Adjusted EBITDA and net income (loss) margin to Adjusted EBITDA Margin as well as income from operations to Store-Level Profit and Store-Level Profit Margin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 unaudited)</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4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47"/>
        </w:trPr>
        <w:tc>
          <w:tcPr>
            <w:tcW w:w="7480" w:type="dxa"/>
            <w:vAlign w:val="bottom"/>
          </w:tcPr>
          <w:p>
            <w:pPr>
              <w:ind w:left="20"/>
              <w:spacing w:after="0"/>
              <w:rPr>
                <w:sz w:val="20"/>
                <w:szCs w:val="20"/>
                <w:color w:val="auto"/>
              </w:rPr>
            </w:pPr>
            <w:r>
              <w:rPr>
                <w:rFonts w:ascii="Arial" w:cs="Arial" w:eastAsia="Arial" w:hAnsi="Arial"/>
                <w:sz w:val="18"/>
                <w:szCs w:val="18"/>
                <w:i w:val="1"/>
                <w:iCs w:val="1"/>
                <w:color w:val="auto"/>
              </w:rPr>
              <w:t>Non-GAAP Adjustments:</w:t>
            </w: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3,042</w:t>
            </w:r>
          </w:p>
        </w:tc>
        <w:tc>
          <w:tcPr>
            <w:tcW w:w="0" w:type="dxa"/>
            <w:vAlign w:val="bottom"/>
          </w:tcPr>
          <w:p>
            <w:pPr>
              <w:spacing w:after="0"/>
              <w:rPr>
                <w:sz w:val="1"/>
                <w:szCs w:val="1"/>
                <w:color w:val="auto"/>
              </w:rPr>
            </w:pPr>
          </w:p>
        </w:tc>
      </w:tr>
      <w:tr>
        <w:trPr>
          <w:trHeight w:val="247"/>
        </w:trPr>
        <w:tc>
          <w:tcPr>
            <w:tcW w:w="74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3,453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70"/>
        </w:trPr>
        <w:tc>
          <w:tcPr>
            <w:tcW w:w="7480" w:type="dxa"/>
            <w:vAlign w:val="bottom"/>
          </w:tcPr>
          <w:p>
            <w:pPr>
              <w:ind w:left="20"/>
              <w:spacing w:after="0"/>
              <w:rPr>
                <w:sz w:val="20"/>
                <w:szCs w:val="20"/>
                <w:color w:val="auto"/>
              </w:rPr>
            </w:pPr>
            <w:r>
              <w:rPr>
                <w:rFonts w:ascii="Arial" w:cs="Arial" w:eastAsia="Arial" w:hAnsi="Arial"/>
                <w:sz w:val="18"/>
                <w:szCs w:val="18"/>
                <w:color w:val="auto"/>
              </w:rPr>
              <w:t>Transaction costs</w:t>
            </w:r>
            <w:r>
              <w:rPr>
                <w:rFonts w:ascii="Arial" w:cs="Arial" w:eastAsia="Arial" w:hAnsi="Arial"/>
                <w:sz w:val="23"/>
                <w:szCs w:val="23"/>
                <w:color w:val="auto"/>
                <w:vertAlign w:val="superscript"/>
              </w:rPr>
              <w:t>(1)</w:t>
            </w:r>
          </w:p>
        </w:tc>
        <w:tc>
          <w:tcPr>
            <w:tcW w:w="400" w:type="dxa"/>
            <w:vAlign w:val="bottom"/>
          </w:tcPr>
          <w:p>
            <w:pPr>
              <w:spacing w:after="0"/>
              <w:rPr>
                <w:sz w:val="23"/>
                <w:szCs w:val="23"/>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3"/>
                <w:szCs w:val="23"/>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7480" w:type="dxa"/>
            <w:vAlign w:val="bottom"/>
          </w:tcPr>
          <w:p>
            <w:pPr>
              <w:ind w:left="20"/>
              <w:spacing w:after="0"/>
              <w:rPr>
                <w:sz w:val="20"/>
                <w:szCs w:val="20"/>
                <w:color w:val="auto"/>
              </w:rPr>
            </w:pPr>
            <w:r>
              <w:rPr>
                <w:rFonts w:ascii="Arial" w:cs="Arial" w:eastAsia="Arial" w:hAnsi="Arial"/>
                <w:sz w:val="18"/>
                <w:szCs w:val="18"/>
                <w:color w:val="auto"/>
              </w:rPr>
              <w:t>TRA remeasurements</w:t>
            </w:r>
          </w:p>
        </w:tc>
        <w:tc>
          <w:tcPr>
            <w:tcW w:w="40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settlement, net</w:t>
            </w:r>
            <w:r>
              <w:rPr>
                <w:rFonts w:ascii="Arial" w:cs="Arial" w:eastAsia="Arial" w:hAnsi="Arial"/>
                <w:sz w:val="23"/>
                <w:szCs w:val="23"/>
                <w:color w:val="auto"/>
                <w:vertAlign w:val="superscript"/>
              </w:rPr>
              <w:t>(2)</w:t>
            </w:r>
          </w:p>
        </w:tc>
        <w:tc>
          <w:tcPr>
            <w:tcW w:w="40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costs</w:t>
            </w:r>
            <w:r>
              <w:rPr>
                <w:rFonts w:ascii="Arial" w:cs="Arial" w:eastAsia="Arial" w:hAnsi="Arial"/>
                <w:sz w:val="23"/>
                <w:szCs w:val="23"/>
                <w:color w:val="auto"/>
                <w:vertAlign w:val="superscript"/>
              </w:rPr>
              <w:t>(3)</w:t>
            </w:r>
          </w:p>
        </w:tc>
        <w:tc>
          <w:tcPr>
            <w:tcW w:w="40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8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7,429</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(loss) margin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8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3.2 %</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
        </w:trPr>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54"/>
        </w:trPr>
        <w:tc>
          <w:tcPr>
            <w:tcW w:w="74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non-recurring professional service fees and executive compensation related to our IPO.</w:t>
      </w:r>
    </w:p>
    <w:p>
      <w:pPr>
        <w:spacing w:after="0" w:line="24" w:lineRule="exact"/>
        <w:rPr>
          <w:rFonts w:ascii="Arial" w:cs="Arial" w:eastAsia="Arial" w:hAnsi="Arial"/>
          <w:sz w:val="13"/>
          <w:szCs w:val="13"/>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For the three months ended March 31, 2026, includes non-recurring legal fees. For the three months ended March 31, 2025, includes legal costs, offset by insurance proceeds.</w:t>
      </w:r>
    </w:p>
    <w:p>
      <w:pPr>
        <w:spacing w:after="0" w:line="12" w:lineRule="exact"/>
        <w:rPr>
          <w:rFonts w:ascii="Arial" w:cs="Arial" w:eastAsia="Arial" w:hAnsi="Arial"/>
          <w:sz w:val="13"/>
          <w:szCs w:val="13"/>
          <w:color w:val="auto"/>
        </w:rPr>
      </w:pPr>
    </w:p>
    <w:p>
      <w:pPr>
        <w:ind w:left="320" w:hanging="312"/>
        <w:spacing w:after="0"/>
        <w:tabs>
          <w:tab w:leader="none" w:pos="3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Non-recurring professional service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6"/>
                <w:szCs w:val="16"/>
                <w:b w:val="1"/>
                <w:bCs w:val="1"/>
                <w:color w:val="auto"/>
              </w:rPr>
              <w:t>Three Months Ended March 31,</w:t>
            </w:r>
          </w:p>
        </w:tc>
      </w:tr>
      <w:tr>
        <w:trPr>
          <w:trHeight w:val="237"/>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 in thousands; unaudited)</w:t>
            </w:r>
          </w:p>
        </w:tc>
        <w:tc>
          <w:tcPr>
            <w:tcW w:w="4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32"/>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2025</w:t>
            </w:r>
          </w:p>
        </w:tc>
      </w:tr>
      <w:tr>
        <w:trPr>
          <w:trHeight w:val="24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2,251</w:t>
            </w:r>
          </w:p>
        </w:tc>
      </w:tr>
      <w:tr>
        <w:trPr>
          <w:trHeight w:val="247"/>
        </w:trPr>
        <w:tc>
          <w:tcPr>
            <w:tcW w:w="748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420" w:type="dxa"/>
            <w:vAlign w:val="bottom"/>
          </w:tcPr>
          <w:p>
            <w:pPr>
              <w:jc w:val="right"/>
              <w:ind w:right="9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91"/>
              <w:spacing w:after="0"/>
              <w:rPr>
                <w:sz w:val="20"/>
                <w:szCs w:val="20"/>
                <w:color w:val="auto"/>
              </w:rPr>
            </w:pPr>
            <w:r>
              <w:rPr>
                <w:rFonts w:ascii="Arial" w:cs="Arial" w:eastAsia="Arial" w:hAnsi="Arial"/>
                <w:sz w:val="18"/>
                <w:szCs w:val="18"/>
                <w:color w:val="auto"/>
              </w:rPr>
              <w:t>(46)</w:t>
            </w:r>
          </w:p>
        </w:tc>
      </w:tr>
      <w:tr>
        <w:trPr>
          <w:trHeight w:val="23"/>
        </w:trPr>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9,242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6,880</w:t>
            </w:r>
          </w:p>
        </w:tc>
      </w:tr>
      <w:tr>
        <w:trPr>
          <w:trHeight w:val="247"/>
        </w:trPr>
        <w:tc>
          <w:tcPr>
            <w:tcW w:w="74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420" w:type="dxa"/>
            <w:vAlign w:val="bottom"/>
          </w:tcPr>
          <w:p>
            <w:pPr>
              <w:jc w:val="right"/>
              <w:ind w:right="132"/>
              <w:spacing w:after="0"/>
              <w:rPr>
                <w:sz w:val="20"/>
                <w:szCs w:val="20"/>
                <w:color w:val="auto"/>
              </w:rPr>
            </w:pPr>
            <w:r>
              <w:rPr>
                <w:rFonts w:ascii="Arial" w:cs="Arial" w:eastAsia="Arial" w:hAnsi="Arial"/>
                <w:sz w:val="18"/>
                <w:szCs w:val="18"/>
                <w:color w:val="auto"/>
              </w:rPr>
              <w:t>3,453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2,883</w:t>
            </w:r>
          </w:p>
        </w:tc>
      </w:tr>
      <w:tr>
        <w:trPr>
          <w:trHeight w:val="23"/>
        </w:trPr>
        <w:tc>
          <w:tcPr>
            <w:tcW w:w="7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Pre-opening costs</w:t>
            </w:r>
          </w:p>
        </w:tc>
        <w:tc>
          <w:tcPr>
            <w:tcW w:w="4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1,088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718</w:t>
            </w:r>
          </w:p>
        </w:tc>
      </w:tr>
      <w:tr>
        <w:trPr>
          <w:trHeight w:val="263"/>
        </w:trPr>
        <w:tc>
          <w:tcPr>
            <w:tcW w:w="7480" w:type="dxa"/>
            <w:vAlign w:val="bottom"/>
          </w:tcPr>
          <w:p>
            <w:pPr>
              <w:ind w:left="20"/>
              <w:spacing w:after="0"/>
              <w:rPr>
                <w:sz w:val="20"/>
                <w:szCs w:val="20"/>
                <w:color w:val="auto"/>
              </w:rPr>
            </w:pPr>
            <w:r>
              <w:rPr>
                <w:rFonts w:ascii="Arial" w:cs="Arial" w:eastAsia="Arial" w:hAnsi="Arial"/>
                <w:sz w:val="18"/>
                <w:szCs w:val="18"/>
                <w:color w:val="auto"/>
              </w:rPr>
              <w:t>Store-Level Profit</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16,389</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12,686</w:t>
            </w:r>
          </w:p>
        </w:tc>
      </w:tr>
      <w:tr>
        <w:trPr>
          <w:trHeight w:val="20"/>
        </w:trPr>
        <w:tc>
          <w:tcPr>
            <w:tcW w:w="7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44"/>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 margin</w:t>
            </w:r>
          </w:p>
        </w:tc>
        <w:tc>
          <w:tcPr>
            <w:tcW w:w="4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47"/>
        </w:trPr>
        <w:tc>
          <w:tcPr>
            <w:tcW w:w="7480" w:type="dxa"/>
            <w:vAlign w:val="bottom"/>
          </w:tcPr>
          <w:p>
            <w:pPr>
              <w:ind w:left="20"/>
              <w:spacing w:after="0"/>
              <w:rPr>
                <w:sz w:val="20"/>
                <w:szCs w:val="20"/>
                <w:color w:val="auto"/>
              </w:rPr>
            </w:pPr>
            <w:r>
              <w:rPr>
                <w:rFonts w:ascii="Arial" w:cs="Arial" w:eastAsia="Arial" w:hAnsi="Arial"/>
                <w:sz w:val="18"/>
                <w:szCs w:val="18"/>
                <w:color w:val="auto"/>
              </w:rPr>
              <w:t>Store-Level Profit Margin</w:t>
            </w: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29.6 %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28.3 %</w:t>
            </w:r>
          </w:p>
        </w:tc>
      </w:tr>
      <w:tr>
        <w:trPr>
          <w:trHeight w:val="77"/>
        </w:trPr>
        <w:tc>
          <w:tcPr>
            <w:tcW w:w="74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4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assess our liquidity in terms of our ability to generate adequate amounts of cash to meet current and future needs. Our primary requirements for liquidity are to fund our working capital needs, operating lease obligations, purchase obligations, capital expenditures and general corporate needs. Our requirements for working capital are generally not significant because our guests pay for their beverage and food purchases in cash or on debit or credit cards at the time of the sale and we are able to sell many of our inventory items before payments are due to the supplier of such items. Our ongoing capital expenditures are principally related to opening new stores, existing store capital investments for maintenance, as well as investments in our corporate technology infrastructure to support our corporate office, store locations and digital strategy. We have historically funded our operations primarily through cash provided by operating activities, draws under our New Credit Facilities and Prior Credit Facility as well as the issuance and sales of securities through private placements. Although we have no specific current plans to do so, if we decide to pursue one or more significant acquisitions, we may incur additional debt or sell additional equity securities to finance such acquisitions, which would result in additional expenses or dilution to our shareholders.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Black Rock Coffee Bar, Inc. is a holding company and has no material assets other than its ownership of LLC Units (which may be held indirectly through certain of our wholly-owned corporate subsidiaries). Black Rock Coffee Bar, Inc. has no independent means of generating revenue. The Black Rock OpCo LLC Agreement provides for the payment of certain distributions to the TRA Parties and to Black Rock Coffee Bar, Inc. in amounts sufficient to cover the income taxes imposed on such members with respect to the allocation of taxable income from Black Rock OpCo as well as to cover Black Rock Coffee Bar, Inc.’s obligations under the Tax Receivable Agreement and other administrative expenses.</w:t>
      </w:r>
    </w:p>
    <w:p>
      <w:pPr>
        <w:spacing w:after="0" w:line="10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terms of our New Credit Facilities contain covenants that may restrict Black Rock OpCo from paying distributions from Black Rock OpCo to Black Rock Coffee Bar, Inc., subject to certain exceptions. Further, Black Rock OpCo is generally prohibited under Delaware law from making a distribution to a member to the extent that, at the time of the distribution, after giving effect to the distribution, Black Rock OpCo’s liabilities (with certain exceptions), as applicable, exceed the fair value of Black Rock OpCo’s assets.</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obligated to make payments under the Tax Receivable Agreement. The actual timing and amount of any payments that may be made under the Tax Receivable Agreement will vary depending upon a number of factors, including the timing of redemptions or exchanges by the TRA Parties, the amount of gain recognized by the TRA Parties, the amount and timing of the taxable income we generate in the future, and the federal tax rates then applicable. However, we expect that the payments that we are required to make to the TRA Parties will be substantial. Any payments made by us to the TRA Parties under the Tax Receivable Agreement will generally reduce the amount of overall cash flow that might have otherwise been available to use and, to the extent that we are unable to make payments under the Tax Receivable Agreement for any reason, the unpaid amounts generally will be deferred and will accrue interest until paid by us.</w:t>
      </w:r>
    </w:p>
    <w:p>
      <w:pPr>
        <w:spacing w:after="0" w:line="11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we do not have sufficient funds to pay taxes, payments under the Tax Receivable Agreement or other liabilities or to fund our operations, we may have to borrow funds or otherwise raise capital, which could materially adversely affect our liquidity and financial condition and subject us to various restrictions imposed by any such lenders or equity holders. To the extent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In addition, if Black Rock OpCo does not have sufficient funds to make distributions, the ability of Black Rock Coffee Bar, Inc. to declare and pay cash dividends will also be restricted or impaired.</w:t>
      </w:r>
    </w:p>
    <w:p>
      <w:pPr>
        <w:spacing w:after="0" w:line="1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we may require additional capital resources to execute strategic initiatives to grow our business in the future. We believe, however, that cash provided by operating activities and existing cash on hand, together with remaining amounts available under our New Credit Facilities and collections of tenant improvement allowances, will be sufficient to satisfy our anticipated cash requirements for the next twelve months and the foreseeable future, including our expected capital expenditures for expansion of our store base and production facilities, incremental public company costs, debt service requirements, Tax Receivable Agreement obligations, operating lease obligations, and working capital obligations. See Note 6 (Long-Term Debt), Note 7 (Leases) and Note 10 (Income Taxes and Tax Receivable Agreement) to our condensed consolidated financial statements included elsewhere in this Form 10-Q for more information. Our sources of liquidity could be affected by factors described in Part I, Item 1A "Risk Factors" in our 10-K, and risk factors described in Part II, Item 1A “Risk Factors” and elsewhere in this Form 10-Q, depending on the severity and direct impact of these factors on us, we may not be able to secure additional financing on acceptable terms, or at all.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Overview</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We had cash and cash equivalents of $20.0 million and $28.4 million as of March 31,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6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280" w:type="dxa"/>
            <w:vAlign w:val="bottom"/>
          </w:tcPr>
          <w:p>
            <w:pPr>
              <w:spacing w:after="0"/>
              <w:rPr>
                <w:sz w:val="19"/>
                <w:szCs w:val="19"/>
                <w:color w:val="auto"/>
              </w:rPr>
            </w:pPr>
          </w:p>
        </w:tc>
        <w:tc>
          <w:tcPr>
            <w:tcW w:w="140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60" w:type="dxa"/>
            <w:vAlign w:val="bottom"/>
          </w:tcPr>
          <w:p>
            <w:pPr>
              <w:spacing w:after="0"/>
              <w:rPr>
                <w:sz w:val="19"/>
                <w:szCs w:val="19"/>
                <w:color w:val="auto"/>
              </w:rPr>
            </w:pP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Summary of Cash Flows</w:t>
            </w:r>
          </w:p>
        </w:tc>
        <w:tc>
          <w:tcPr>
            <w:tcW w:w="26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w:t>
            </w:r>
          </w:p>
        </w:tc>
      </w:tr>
      <w:tr>
        <w:trPr>
          <w:trHeight w:val="222"/>
        </w:trPr>
        <w:tc>
          <w:tcPr>
            <w:tcW w:w="5380" w:type="dxa"/>
            <w:vAlign w:val="bottom"/>
          </w:tcPr>
          <w:p>
            <w:pPr>
              <w:ind w:left="20"/>
              <w:spacing w:after="0"/>
              <w:rPr>
                <w:sz w:val="20"/>
                <w:szCs w:val="20"/>
                <w:color w:val="auto"/>
              </w:rPr>
            </w:pPr>
            <w:r>
              <w:rPr>
                <w:rFonts w:ascii="Arial" w:cs="Arial" w:eastAsia="Arial" w:hAnsi="Arial"/>
                <w:sz w:val="16"/>
                <w:szCs w:val="16"/>
                <w:i w:val="1"/>
                <w:iCs w:val="1"/>
                <w:color w:val="auto"/>
              </w:rPr>
              <w:t>($ in thousands)</w:t>
            </w: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8"/>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ind w:left="532"/>
              <w:spacing w:after="0"/>
              <w:rPr>
                <w:sz w:val="20"/>
                <w:szCs w:val="20"/>
                <w:color w:val="auto"/>
              </w:rPr>
            </w:pPr>
            <w:r>
              <w:rPr>
                <w:rFonts w:ascii="Arial" w:cs="Arial" w:eastAsia="Arial" w:hAnsi="Arial"/>
                <w:sz w:val="18"/>
                <w:szCs w:val="18"/>
                <w:color w:val="auto"/>
              </w:rPr>
              <w:t>3,433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97.8 %</w:t>
            </w:r>
          </w:p>
        </w:tc>
      </w:tr>
      <w:tr>
        <w:trPr>
          <w:trHeight w:val="247"/>
        </w:trPr>
        <w:tc>
          <w:tcPr>
            <w:tcW w:w="53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center"/>
              <w:ind w:left="512"/>
              <w:spacing w:after="0"/>
              <w:rPr>
                <w:sz w:val="20"/>
                <w:szCs w:val="20"/>
                <w:color w:val="auto"/>
              </w:rPr>
            </w:pPr>
            <w:r>
              <w:rPr>
                <w:rFonts w:ascii="Arial" w:cs="Arial" w:eastAsia="Arial" w:hAnsi="Arial"/>
                <w:sz w:val="18"/>
                <w:szCs w:val="18"/>
                <w:color w:val="auto"/>
                <w:w w:val="98"/>
              </w:rPr>
              <w:t>(6,548)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152.4 %</w:t>
            </w:r>
          </w:p>
        </w:tc>
      </w:tr>
      <w:tr>
        <w:trPr>
          <w:trHeight w:val="23"/>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center"/>
              <w:ind w:left="532"/>
              <w:spacing w:after="0"/>
              <w:rPr>
                <w:sz w:val="20"/>
                <w:szCs w:val="20"/>
                <w:color w:val="auto"/>
              </w:rPr>
            </w:pPr>
            <w:r>
              <w:rPr>
                <w:rFonts w:ascii="Arial" w:cs="Arial" w:eastAsia="Arial" w:hAnsi="Arial"/>
                <w:sz w:val="18"/>
                <w:szCs w:val="18"/>
                <w:color w:val="auto"/>
              </w:rPr>
              <w:t>9,644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41"/>
        </w:trPr>
        <w:tc>
          <w:tcPr>
            <w:tcW w:w="53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center"/>
              <w:ind w:left="532"/>
              <w:spacing w:after="0"/>
              <w:rPr>
                <w:sz w:val="20"/>
                <w:szCs w:val="20"/>
                <w:color w:val="auto"/>
              </w:rPr>
            </w:pPr>
            <w:r>
              <w:rPr>
                <w:rFonts w:ascii="Arial" w:cs="Arial" w:eastAsia="Arial" w:hAnsi="Arial"/>
                <w:sz w:val="18"/>
                <w:szCs w:val="18"/>
                <w:color w:val="auto"/>
              </w:rPr>
              <w:t>6,529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w:t>
            </w:r>
          </w:p>
        </w:tc>
      </w:tr>
      <w:tr>
        <w:trPr>
          <w:trHeight w:val="77"/>
        </w:trPr>
        <w:tc>
          <w:tcPr>
            <w:tcW w:w="538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increase in net cash provided by operating activities for the three months ended March 31, 2026, compared to the three months ended March 31, 2025, was primarily driven by an increase in revenue due to 36 Net New Store Openings subsequent to March 31, 2025 and Same Store Sales Growth of 5.2%, as well as improved operating performance as a result of improved operating efficiency and working capital management. Operating cash flows for the three months ended March 31, 2025 benefited from cash generated from 5 Net New Store Openings and Same Store Sales Growth of 9.2%</w:t>
      </w:r>
      <w:r>
        <w:rPr>
          <w:rFonts w:ascii="Arial" w:cs="Arial" w:eastAsia="Arial" w:hAnsi="Arial"/>
          <w:sz w:val="16"/>
          <w:szCs w:val="16"/>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42"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increase in net cash used in investing activities for the three months ended March 31, 2026, compared to the three months ended March 31, 2025, was primarily driven by increased investments in capital expenditures as a result of Net New Store Openings and our growing development pipeline. Net cash used in investing activities during the three months ended March 31, 2025 was primarily driven by investments in capital expenditures to support our development pipeline and Net New Store Openings.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56"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The decrease in net cash provided by financing activities for the three months ended March 31, 2026, compared to the three months ended March 31, 2025, was primarily driven by $10.0 million in borrowings on long-term debt for the three months ended March 31, 2025, partially offset by $1.5 million in tenant improvement allowances collected associated with certain reverse build-to-suit arrangements during the three months ended March 31, 2026.</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Cash Requirements</w:t>
      </w:r>
    </w:p>
    <w:p>
      <w:pPr>
        <w:spacing w:after="0" w:line="15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Material cash requirements from known contractual obligations arising in the normal course of business primarily consist of operating lease obligations, long-term debt and purchase obligations. In addition, we expect that we will require significant cash to make payments under the Tax Receivable Agreement, and we are currently unable to estimate the amounts and timing of the payments that may be due thereunder. The following table summarizes our current and long-term material cash requirements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6"/>
                <w:szCs w:val="16"/>
                <w:b w:val="1"/>
                <w:bCs w:val="1"/>
                <w:color w:val="auto"/>
              </w:rPr>
              <w:t>Payments Due by Period</w:t>
            </w:r>
          </w:p>
        </w:tc>
        <w:tc>
          <w:tcPr>
            <w:tcW w:w="1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9"/>
        </w:trPr>
        <w:tc>
          <w:tcPr>
            <w:tcW w:w="3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Remainder of</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right"/>
              <w:ind w:right="293"/>
              <w:spacing w:after="0"/>
              <w:rPr>
                <w:sz w:val="20"/>
                <w:szCs w:val="20"/>
                <w:color w:val="auto"/>
              </w:rPr>
            </w:pPr>
            <w:r>
              <w:rPr>
                <w:rFonts w:ascii="Arial" w:cs="Arial" w:eastAsia="Arial" w:hAnsi="Arial"/>
                <w:sz w:val="16"/>
                <w:szCs w:val="16"/>
                <w:b w:val="1"/>
                <w:bCs w:val="1"/>
                <w:color w:val="auto"/>
              </w:rPr>
              <w:t>2031 and</w:t>
            </w:r>
          </w:p>
        </w:tc>
      </w:tr>
      <w:tr>
        <w:trPr>
          <w:trHeight w:val="240"/>
        </w:trPr>
        <w:tc>
          <w:tcPr>
            <w:tcW w:w="3540" w:type="dxa"/>
            <w:vAlign w:val="bottom"/>
          </w:tcPr>
          <w:p>
            <w:pPr>
              <w:ind w:left="20"/>
              <w:spacing w:after="0"/>
              <w:rPr>
                <w:sz w:val="20"/>
                <w:szCs w:val="20"/>
                <w:color w:val="auto"/>
              </w:rPr>
            </w:pPr>
            <w:r>
              <w:rPr>
                <w:rFonts w:ascii="Arial" w:cs="Arial" w:eastAsia="Arial" w:hAnsi="Arial"/>
                <w:sz w:val="16"/>
                <w:szCs w:val="16"/>
                <w:i w:val="1"/>
                <w:iCs w:val="1"/>
                <w:color w:val="auto"/>
              </w:rPr>
              <w:t>($ in thousands)</w:t>
            </w:r>
          </w:p>
        </w:tc>
        <w:tc>
          <w:tcPr>
            <w:tcW w:w="32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20"/>
                <w:szCs w:val="20"/>
                <w:color w:val="auto"/>
              </w:rPr>
            </w:pPr>
          </w:p>
        </w:tc>
        <w:tc>
          <w:tcPr>
            <w:tcW w:w="1300" w:type="dxa"/>
            <w:vAlign w:val="bottom"/>
          </w:tcPr>
          <w:p>
            <w:pPr>
              <w:jc w:val="right"/>
              <w:ind w:right="474"/>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252"/>
              <w:spacing w:after="0"/>
              <w:rPr>
                <w:sz w:val="20"/>
                <w:szCs w:val="20"/>
                <w:color w:val="auto"/>
              </w:rPr>
            </w:pPr>
            <w:r>
              <w:rPr>
                <w:rFonts w:ascii="Arial" w:cs="Arial" w:eastAsia="Arial" w:hAnsi="Arial"/>
                <w:sz w:val="16"/>
                <w:szCs w:val="16"/>
                <w:b w:val="1"/>
                <w:bCs w:val="1"/>
                <w:color w:val="auto"/>
              </w:rPr>
              <w:t>2027-2028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72"/>
              <w:spacing w:after="0"/>
              <w:rPr>
                <w:sz w:val="20"/>
                <w:szCs w:val="20"/>
                <w:color w:val="auto"/>
              </w:rPr>
            </w:pPr>
            <w:r>
              <w:rPr>
                <w:rFonts w:ascii="Arial" w:cs="Arial" w:eastAsia="Arial" w:hAnsi="Arial"/>
                <w:sz w:val="16"/>
                <w:szCs w:val="16"/>
                <w:b w:val="1"/>
                <w:bCs w:val="1"/>
                <w:color w:val="auto"/>
              </w:rPr>
              <w:t>2029-2030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73"/>
              <w:spacing w:after="0"/>
              <w:rPr>
                <w:sz w:val="20"/>
                <w:szCs w:val="20"/>
                <w:color w:val="auto"/>
              </w:rPr>
            </w:pPr>
            <w:r>
              <w:rPr>
                <w:rFonts w:ascii="Arial" w:cs="Arial" w:eastAsia="Arial" w:hAnsi="Arial"/>
                <w:sz w:val="16"/>
                <w:szCs w:val="16"/>
                <w:b w:val="1"/>
                <w:bCs w:val="1"/>
                <w:color w:val="auto"/>
              </w:rPr>
              <w:t>thereafter</w:t>
            </w:r>
          </w:p>
        </w:tc>
      </w:tr>
      <w:tr>
        <w:trPr>
          <w:trHeight w:val="247"/>
        </w:trPr>
        <w:tc>
          <w:tcPr>
            <w:tcW w:w="3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2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119,299</w:t>
            </w:r>
          </w:p>
        </w:tc>
      </w:tr>
      <w:tr>
        <w:trPr>
          <w:trHeight w:val="270"/>
        </w:trPr>
        <w:tc>
          <w:tcPr>
            <w:tcW w:w="3540" w:type="dxa"/>
            <w:vAlign w:val="bottom"/>
          </w:tcPr>
          <w:p>
            <w:pPr>
              <w:ind w:left="20"/>
              <w:spacing w:after="0"/>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(1)</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40,523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2,154</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20,918</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11,066</w:t>
            </w:r>
          </w:p>
        </w:tc>
      </w:tr>
      <w:tr>
        <w:trPr>
          <w:trHeight w:val="27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w:t>
            </w: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540" w:type="dxa"/>
            <w:vAlign w:val="bottom"/>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251,165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18,679</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45,418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56,703</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130,365</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340" w:right="100" w:hanging="332"/>
        <w:spacing w:after="0" w:line="281" w:lineRule="auto"/>
        <w:tabs>
          <w:tab w:leader="none" w:pos="331" w:val="left"/>
        </w:tabs>
        <w:numPr>
          <w:ilvl w:val="0"/>
          <w:numId w:val="16"/>
        </w:numPr>
        <w:rPr>
          <w:rFonts w:ascii="Arial" w:cs="Arial" w:eastAsia="Arial" w:hAnsi="Arial"/>
          <w:sz w:val="13"/>
          <w:szCs w:val="13"/>
          <w:color w:val="auto"/>
        </w:rPr>
      </w:pPr>
      <w:r>
        <w:rPr>
          <w:rFonts w:ascii="Arial" w:cs="Arial" w:eastAsia="Arial" w:hAnsi="Arial"/>
          <w:sz w:val="13"/>
          <w:szCs w:val="13"/>
          <w:color w:val="auto"/>
        </w:rPr>
        <w:t>Long-term debt includes the principal amount of borrowings outstanding under our New Credit Facilities and the interest payments on our New Credit Facilities, which are based on the weighted-average interest rate as of March 31, 2026. Long-term debt also includes total payments to be made under our finance obligations. As contractual interest rates and the amount of debt outstanding are variable in certain cases, actual cash payments may differ from the estimates provided.</w:t>
      </w:r>
    </w:p>
    <w:p>
      <w:pPr>
        <w:spacing w:after="0" w:line="14" w:lineRule="exact"/>
        <w:rPr>
          <w:rFonts w:ascii="Arial" w:cs="Arial" w:eastAsia="Arial" w:hAnsi="Arial"/>
          <w:sz w:val="13"/>
          <w:szCs w:val="13"/>
          <w:color w:val="auto"/>
        </w:rPr>
      </w:pPr>
    </w:p>
    <w:p>
      <w:pPr>
        <w:ind w:left="340" w:right="480" w:hanging="332"/>
        <w:spacing w:after="0" w:line="302" w:lineRule="auto"/>
        <w:tabs>
          <w:tab w:leader="none" w:pos="331" w:val="left"/>
        </w:tabs>
        <w:numPr>
          <w:ilvl w:val="0"/>
          <w:numId w:val="16"/>
        </w:numPr>
        <w:rPr>
          <w:rFonts w:ascii="Arial" w:cs="Arial" w:eastAsia="Arial" w:hAnsi="Arial"/>
          <w:sz w:val="13"/>
          <w:szCs w:val="13"/>
          <w:color w:val="auto"/>
        </w:rPr>
      </w:pPr>
      <w:r>
        <w:rPr>
          <w:rFonts w:ascii="Arial" w:cs="Arial" w:eastAsia="Arial" w:hAnsi="Arial"/>
          <w:sz w:val="13"/>
          <w:szCs w:val="13"/>
          <w:color w:val="auto"/>
        </w:rPr>
        <w:t>Purchase obligations include legally binding agreements to purchase green coffee, with some specifying a fixed-price, while others are structured as price-to-be-fixed purchase commitments. Until prices are fixed, we estimate the total cost of our price-to-be-fixed purchase commitments.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4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Concurrently with the consummation of the IPO, Black Rock OpCo and certain of its wholly-owned subsidiaries entered into the New Credit Agreement with JPMorgan Chase Bank, N.A., as the administrative agent, and other loan parties and lenders party thereto, to provide for (i) a $50.0 million New Term Loan and (ii) a $25.0 million New Revolving Credit Facility. As of the closing of the IPO, the aggregate principal amount borrowed under the New Credit Facilities was $50.0 million from the New Term Loan which was used, together with proceeds from the Co-Founder Contribution and net proceeds from the IPO, to repay all amounts outstanding under the Prior Credit Facility. Subsequent to the IPO, we made principal payments in the amount of $30.3 million thereby reducing the outstanding principal balance of the New Term Loan as of March 31, 2026 to $19.8 million.</w:t>
      </w:r>
    </w:p>
    <w:p>
      <w:pPr>
        <w:spacing w:after="0" w:line="11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Pursuant to the New Credit Agreement, certain subsidiaries of Black Rock OpCo are guarantors of the obligations under the New Credit Agreement. Simultaneously with the execution of the New Credit Agreement, Black Rock OpCo and its subsidiaries entered into a pledge and security agreement. Pursuant to the pledge and security agreement, the New Credit Facilities are secured by liens on substantially all of our assets, including the intellectual property of Black Rock OpCo and its subsidiaries and the equity interests of Black Rock OpCo's various subsidiaries.</w:t>
      </w:r>
    </w:p>
    <w:p>
      <w:pPr>
        <w:spacing w:after="0" w:line="11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New Credit Agreement contains certain affirmative and negative covenants, including, among other things, restrictions on indebtedness, liens on assets, fundamental changes and asset sales, investments, negative pledges, repurchase of stock, dividends and other distributions, and transactions with affiliates. In addition, the New Credit Agreement also contains financial covenants that require us not to exceed a maximum net rent adjusted leverage ratio and to maintain a minimum fixed charge coverage ratio.</w:t>
      </w:r>
    </w:p>
    <w:p>
      <w:pPr>
        <w:spacing w:after="0" w:line="9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Borrowings under the New Credit Agreement are available as alternate base rate (“ABR”) or term benchmark loans. ABR loans under the New Credit Agreement accrue interest at an alternate base rate plus an applicable rate, and term benchmark loans accrue interest at an adjusted SOFR rate plus an applicable rate. The ABR rate represents the greatest of (i) the prime rate, (ii) the Federal Reserve’s Bank of New York overnight rate plus 0.5% and (iii) the one-month adjusted term SOFR rate plus 1.0%. The applicable rate for the ABR and term benchmark loans is tied to a pricing grid tied to our net rent adjusted leverage ratio. The adjusted SOFR rate will represent the term SOFR rate plus 0.10%. The applicable rate spread for ABR and term benchmark loans ranges from 0.50% to 1.75% and 1.50% to 2.75%, respectively. Interest on the New Credit Agreement is payable at least quarterly and upon maturity. As of March 31, 2026, the weighted-average interest rate on outstanding borrowings under the New Revolving Credit Facility was approximately 6.02%.</w:t>
      </w:r>
    </w:p>
    <w:p>
      <w:pPr>
        <w:spacing w:after="0" w:line="11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New Revolving Credit Facility also has a variable commitment fee, which is payable quarterly based on our net rent adjusted leverage ratio. We expect the commitment fee to range from 0.25% to 0.35% per annum. We are obligated to pay a fixed fronting fee for letters of credit of 0.125% per annum.</w:t>
      </w:r>
    </w:p>
    <w:p>
      <w:pPr>
        <w:spacing w:after="0" w:line="1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Amounts borrowed under the New Revolving Credit Facility may be repaid and re-borrowed through maturity of the New Credit Facilities in September 2030. The New Term Loan matures in September 2030. The New Term Loan may be repaid or prepaid but may not be re-borrowed. Borrowings under the New Credit Agreement are payable in quarterly principal installments and upon maturity. The Company was in compliance with all financial covenants as of March 31, 2026.</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w:t>
      </w:r>
    </w:p>
    <w:p>
      <w:pPr>
        <w:spacing w:after="0" w:line="148"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Our business is subject to seasonal fluctuations in that our sales are typically nominally higher during the spring and fall months affecting the second and third quarters.</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 Balance Sheet Arrangements</w:t>
      </w:r>
    </w:p>
    <w:p>
      <w:pPr>
        <w:spacing w:after="0" w:line="148"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As of March 31, 2026, we did not have any off-balance sheet arrangements, except for operating leases entered in the normal course of business where we have not taken physical possession of the leased property and unrecorded purchase obligations related to our legally binding firm purchase commitments for inventory purchases.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Use of Estimates</w:t>
      </w:r>
    </w:p>
    <w:p>
      <w:pPr>
        <w:spacing w:after="0" w:line="148" w:lineRule="exact"/>
        <w:rPr>
          <w:sz w:val="20"/>
          <w:szCs w:val="20"/>
          <w:color w:val="auto"/>
        </w:rPr>
      </w:pPr>
    </w:p>
    <w:p>
      <w:pPr>
        <w:ind w:right="40"/>
        <w:spacing w:after="0" w:line="318" w:lineRule="auto"/>
        <w:rPr>
          <w:sz w:val="20"/>
          <w:szCs w:val="20"/>
          <w:color w:val="auto"/>
        </w:rPr>
      </w:pPr>
      <w:r>
        <w:rPr>
          <w:rFonts w:ascii="Arial" w:cs="Arial" w:eastAsia="Arial" w:hAnsi="Arial"/>
          <w:sz w:val="17"/>
          <w:szCs w:val="17"/>
          <w:color w:val="auto"/>
        </w:rPr>
        <w:t>There have been no material changes to our critical accounting estimates from those disclosed in Part II, Item 7, "Management's Discussion and Analysis of Financial Condition and Results of Operations - Critical Accounting Policies and Use of Estimates" in our Form 10-K.</w:t>
      </w:r>
    </w:p>
    <w:p>
      <w:pPr>
        <w:spacing w:after="0" w:line="5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JOBS Act Election</w:t>
      </w:r>
    </w:p>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are currently an “emerging growth company,” as defined in the JOBS Act. Under the JOBS Act, emerging growth companies can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1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will remain an emerging growth company until the earliest of (i) December 31, 2030, (ii) the last day of the first fiscal year in which our annual gross revenue exceeds $1.235 billion, (iii) the date that we become a “large accelerated filer” as defined in Rule 12b-2 under the Exchange Act of 1934, as amended (the "Exchange Act"), which would occur if the market value of our common stock that is held by non-affiliates exceeds $700 million as of the last business day of our most recently completed second fiscal quarter, or (iv) the date on which we have issued more than $1 billion in non-convertible debt during the preceding three-year period.</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4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quantitative and qualitative disclosures about market risk are described under the heading “Quantitative and Qualitative Disclosures About Market Risk” in Part II, Item 7A of our Form 10-K. In the three months ended March 31, 2026, there were no material changes to our quantitative and qualitative disclosures about market risk from those discussed in our Form 10-K.</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4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as of March 31, 2026, our disclosure controls and procedures were effective at a reasonable assurance level.</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The information required with respect to this Part II, Item 1 can be found under Note 13 (Commitments and Contingencies), to the unaudited condensed consolidated financial statements included in Part I, Item 1 of this Quarterly Report on Form 10-Q.</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under Part I, Item 1A. Risk Factors in our Annual Report on Form 10-K for the year ended December 31, 2025, filed with the SEC on March 4, 2026.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on Form 10-Q. There have been no material changes in the risks affecting the Company since the filing of our Form 10-K, filed with the SEC on March 4, 2026.</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3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 March 18, 2026, in reliance upon an exemption from registration under Section 3(a)(9) of the Securities Act, we made an unregistered issuance of Black Rock Coffee Bar, Inc.’s Class A common stock via the exchange of 539,019 LLC Units of Black Rock OpCo (and corresponding cancellation of the same number of shares of Class B common stock) held by one of our Continuing Equity Owners for 539,019 shares of our Class A common stock.</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Repurchases of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48"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44" w:lineRule="exact"/>
        <w:rPr>
          <w:rFonts w:ascii="Arial" w:cs="Arial" w:eastAsia="Arial" w:hAnsi="Arial"/>
          <w:sz w:val="18"/>
          <w:szCs w:val="18"/>
          <w:color w:val="auto"/>
        </w:rPr>
      </w:pPr>
    </w:p>
    <w:p>
      <w:pPr>
        <w:ind w:right="100" w:firstLine="8"/>
        <w:spacing w:after="0" w:line="241"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March 12, 2026, a trust affiliated with Jeff Hernandez, the Chairman of our Board of Directors, adopted a Rule 10b5-1 sales plan (the “Hernandez Sales Plan”), providing for the sale of up to 348,000 shares of our Class A common stock. The Hernandez Sales Plan’s expiration date is September 10, 2026. The Hernandez Sales Plan is intended to satisfy the affirmative defense conditions of Rule 10b5-1(c) under the Exchange Act.</w:t>
      </w:r>
    </w:p>
    <w:p>
      <w:pPr>
        <w:spacing w:after="0" w:line="12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On March 12, 2026, a trust affiliated with Daniel Brand, a member of our Board of Directors, adopted a Rule 10b5-1 sales plan (the “Brand Sales Plan”), providing for the sale of up to 150,000 shares of our Class A common stock. The Brand Sales Plan’s expiration date is September 10, 2026. The Brand Sales Plan is intended to satisfy the affirmative defense conditions of Rule 10b5-1(c) under the Exchange Act.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2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2"/>
          </w:tcPr>
          <w:p>
            <w:pPr>
              <w:jc w:val="center"/>
              <w:ind w:left="619"/>
              <w:spacing w:after="0"/>
              <w:rPr>
                <w:sz w:val="20"/>
                <w:szCs w:val="20"/>
                <w:color w:val="auto"/>
              </w:rPr>
            </w:pPr>
            <w:r>
              <w:rPr>
                <w:rFonts w:ascii="Arial" w:cs="Arial" w:eastAsia="Arial" w:hAnsi="Arial"/>
                <w:sz w:val="16"/>
                <w:szCs w:val="16"/>
                <w:b w:val="1"/>
                <w:bCs w:val="1"/>
                <w:color w:val="auto"/>
              </w:rPr>
              <w:t>Incorporated by Reference</w:t>
            </w:r>
          </w:p>
        </w:tc>
        <w:tc>
          <w:tcPr>
            <w:tcW w:w="1540" w:type="dxa"/>
            <w:vAlign w:val="bottom"/>
            <w:tcBorders>
              <w:bottom w:val="single" w:sz="8" w:color="auto"/>
            </w:tcBorders>
          </w:tcPr>
          <w:p>
            <w:pPr>
              <w:spacing w:after="0"/>
              <w:rPr>
                <w:sz w:val="19"/>
                <w:szCs w:val="19"/>
                <w:color w:val="auto"/>
              </w:rPr>
            </w:pPr>
          </w:p>
        </w:tc>
        <w:tc>
          <w:tcPr>
            <w:tcW w:w="1320" w:type="dxa"/>
            <w:vAlign w:val="bottom"/>
          </w:tcPr>
          <w:p>
            <w:pPr>
              <w:spacing w:after="0"/>
              <w:rPr>
                <w:sz w:val="19"/>
                <w:szCs w:val="19"/>
                <w:color w:val="auto"/>
              </w:rPr>
            </w:pPr>
          </w:p>
        </w:tc>
      </w:tr>
      <w:tr>
        <w:trPr>
          <w:trHeight w:val="202"/>
        </w:trPr>
        <w:tc>
          <w:tcPr>
            <w:tcW w:w="1260" w:type="dxa"/>
            <w:vAlign w:val="bottom"/>
          </w:tcPr>
          <w:p>
            <w:pPr>
              <w:jc w:val="center"/>
              <w:ind w:right="559"/>
              <w:spacing w:after="0"/>
              <w:rPr>
                <w:sz w:val="20"/>
                <w:szCs w:val="20"/>
                <w:color w:val="auto"/>
              </w:rPr>
            </w:pPr>
            <w:r>
              <w:rPr>
                <w:rFonts w:ascii="Arial" w:cs="Arial" w:eastAsia="Arial" w:hAnsi="Arial"/>
                <w:sz w:val="16"/>
                <w:szCs w:val="16"/>
                <w:b w:val="1"/>
                <w:bCs w:val="1"/>
                <w:color w:val="auto"/>
              </w:rPr>
              <w:t>Exhibit</w:t>
            </w:r>
          </w:p>
        </w:tc>
        <w:tc>
          <w:tcPr>
            <w:tcW w:w="3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20" w:type="dxa"/>
            <w:vAlign w:val="bottom"/>
          </w:tcPr>
          <w:p>
            <w:pPr>
              <w:jc w:val="center"/>
              <w:ind w:left="39"/>
              <w:spacing w:after="0"/>
              <w:rPr>
                <w:sz w:val="20"/>
                <w:szCs w:val="20"/>
                <w:color w:val="auto"/>
              </w:rPr>
            </w:pPr>
            <w:r>
              <w:rPr>
                <w:rFonts w:ascii="Arial" w:cs="Arial" w:eastAsia="Arial" w:hAnsi="Arial"/>
                <w:sz w:val="16"/>
                <w:szCs w:val="16"/>
                <w:b w:val="1"/>
                <w:bCs w:val="1"/>
                <w:color w:val="auto"/>
              </w:rPr>
              <w:t>Filed/Furnished</w:t>
            </w:r>
          </w:p>
        </w:tc>
      </w:tr>
      <w:tr>
        <w:trPr>
          <w:trHeight w:val="223"/>
        </w:trPr>
        <w:tc>
          <w:tcPr>
            <w:tcW w:w="1260" w:type="dxa"/>
            <w:vAlign w:val="bottom"/>
          </w:tcPr>
          <w:p>
            <w:pPr>
              <w:jc w:val="center"/>
              <w:ind w:right="559"/>
              <w:spacing w:after="0"/>
              <w:rPr>
                <w:sz w:val="20"/>
                <w:szCs w:val="20"/>
                <w:color w:val="auto"/>
              </w:rPr>
            </w:pPr>
            <w:r>
              <w:rPr>
                <w:rFonts w:ascii="Arial" w:cs="Arial" w:eastAsia="Arial" w:hAnsi="Arial"/>
                <w:sz w:val="16"/>
                <w:szCs w:val="16"/>
                <w:b w:val="1"/>
                <w:bCs w:val="1"/>
                <w:color w:val="auto"/>
              </w:rPr>
              <w:t>Number</w:t>
            </w:r>
          </w:p>
        </w:tc>
        <w:tc>
          <w:tcPr>
            <w:tcW w:w="3180" w:type="dxa"/>
            <w:vAlign w:val="bottom"/>
          </w:tcPr>
          <w:p>
            <w:pPr>
              <w:ind w:left="640"/>
              <w:spacing w:after="0"/>
              <w:rPr>
                <w:sz w:val="20"/>
                <w:szCs w:val="20"/>
                <w:color w:val="auto"/>
              </w:rPr>
            </w:pPr>
            <w:r>
              <w:rPr>
                <w:rFonts w:ascii="Arial" w:cs="Arial" w:eastAsia="Arial" w:hAnsi="Arial"/>
                <w:sz w:val="16"/>
                <w:szCs w:val="16"/>
                <w:b w:val="1"/>
                <w:bCs w:val="1"/>
                <w:color w:val="auto"/>
              </w:rPr>
              <w:t>Exhibit Description</w:t>
            </w:r>
          </w:p>
        </w:tc>
        <w:tc>
          <w:tcPr>
            <w:tcW w:w="860" w:type="dxa"/>
            <w:vAlign w:val="bottom"/>
          </w:tcPr>
          <w:p>
            <w:pPr>
              <w:ind w:left="160"/>
              <w:spacing w:after="0"/>
              <w:rPr>
                <w:sz w:val="20"/>
                <w:szCs w:val="20"/>
                <w:color w:val="auto"/>
              </w:rPr>
            </w:pPr>
            <w:r>
              <w:rPr>
                <w:rFonts w:ascii="Arial" w:cs="Arial" w:eastAsia="Arial" w:hAnsi="Arial"/>
                <w:sz w:val="16"/>
                <w:szCs w:val="16"/>
                <w:b w:val="1"/>
                <w:bCs w:val="1"/>
                <w:color w:val="auto"/>
              </w:rPr>
              <w:t>Form</w:t>
            </w:r>
          </w:p>
        </w:tc>
        <w:tc>
          <w:tcPr>
            <w:tcW w:w="1200" w:type="dxa"/>
            <w:vAlign w:val="bottom"/>
          </w:tcPr>
          <w:p>
            <w:pPr>
              <w:ind w:left="320"/>
              <w:spacing w:after="0"/>
              <w:rPr>
                <w:sz w:val="20"/>
                <w:szCs w:val="20"/>
                <w:color w:val="auto"/>
              </w:rPr>
            </w:pPr>
            <w:r>
              <w:rPr>
                <w:rFonts w:ascii="Arial" w:cs="Arial" w:eastAsia="Arial" w:hAnsi="Arial"/>
                <w:sz w:val="16"/>
                <w:szCs w:val="16"/>
                <w:b w:val="1"/>
                <w:bCs w:val="1"/>
                <w:color w:val="auto"/>
              </w:rPr>
              <w:t>File No.</w:t>
            </w:r>
          </w:p>
        </w:tc>
        <w:tc>
          <w:tcPr>
            <w:tcW w:w="1640" w:type="dxa"/>
            <w:vAlign w:val="bottom"/>
          </w:tcPr>
          <w:p>
            <w:pPr>
              <w:jc w:val="center"/>
              <w:ind w:right="459"/>
              <w:spacing w:after="0"/>
              <w:rPr>
                <w:sz w:val="20"/>
                <w:szCs w:val="20"/>
                <w:color w:val="auto"/>
              </w:rPr>
            </w:pPr>
            <w:r>
              <w:rPr>
                <w:rFonts w:ascii="Arial" w:cs="Arial" w:eastAsia="Arial" w:hAnsi="Arial"/>
                <w:sz w:val="16"/>
                <w:szCs w:val="16"/>
                <w:b w:val="1"/>
                <w:bCs w:val="1"/>
                <w:color w:val="auto"/>
              </w:rPr>
              <w:t>Exhibit</w:t>
            </w:r>
          </w:p>
        </w:tc>
        <w:tc>
          <w:tcPr>
            <w:tcW w:w="1540" w:type="dxa"/>
            <w:vAlign w:val="bottom"/>
          </w:tcPr>
          <w:p>
            <w:pPr>
              <w:ind w:left="60"/>
              <w:spacing w:after="0"/>
              <w:rPr>
                <w:sz w:val="20"/>
                <w:szCs w:val="20"/>
                <w:color w:val="auto"/>
              </w:rPr>
            </w:pPr>
            <w:r>
              <w:rPr>
                <w:rFonts w:ascii="Arial" w:cs="Arial" w:eastAsia="Arial" w:hAnsi="Arial"/>
                <w:sz w:val="16"/>
                <w:szCs w:val="16"/>
                <w:b w:val="1"/>
                <w:bCs w:val="1"/>
                <w:color w:val="auto"/>
              </w:rPr>
              <w:t>Filing Date</w:t>
            </w:r>
          </w:p>
        </w:tc>
        <w:tc>
          <w:tcPr>
            <w:tcW w:w="1320" w:type="dxa"/>
            <w:vAlign w:val="bottom"/>
          </w:tcPr>
          <w:p>
            <w:pPr>
              <w:jc w:val="center"/>
              <w:ind w:left="39"/>
              <w:spacing w:after="0"/>
              <w:rPr>
                <w:sz w:val="20"/>
                <w:szCs w:val="20"/>
                <w:color w:val="auto"/>
              </w:rPr>
            </w:pPr>
            <w:r>
              <w:rPr>
                <w:rFonts w:ascii="Arial" w:cs="Arial" w:eastAsia="Arial" w:hAnsi="Arial"/>
                <w:sz w:val="16"/>
                <w:szCs w:val="16"/>
                <w:b w:val="1"/>
                <w:bCs w:val="1"/>
                <w:color w:val="auto"/>
              </w:rPr>
              <w:t>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9" w:lineRule="exact"/>
        <w:rPr>
          <w:sz w:val="20"/>
          <w:szCs w:val="20"/>
          <w:color w:val="auto"/>
        </w:rPr>
      </w:pPr>
    </w:p>
    <w:p>
      <w:pPr>
        <w:ind w:left="1160" w:right="140" w:hanging="756"/>
        <w:spacing w:after="0" w:line="318" w:lineRule="auto"/>
        <w:tabs>
          <w:tab w:leader="none" w:pos="1140" w:val="left"/>
        </w:tabs>
        <w:rPr>
          <w:rFonts w:ascii="Arial" w:cs="Arial" w:eastAsia="Arial" w:hAnsi="Arial"/>
          <w:sz w:val="17"/>
          <w:szCs w:val="17"/>
          <w:u w:val="single" w:color="auto"/>
          <w:color w:val="0000FF"/>
        </w:rPr>
      </w:pPr>
      <w:r>
        <w:rPr>
          <w:rFonts w:ascii="Arial" w:cs="Arial" w:eastAsia="Arial" w:hAnsi="Arial"/>
          <w:sz w:val="18"/>
          <w:szCs w:val="18"/>
          <w:color w:val="auto"/>
        </w:rPr>
        <w:t>3.1</w:t>
      </w:r>
      <w:r>
        <w:rPr>
          <w:sz w:val="20"/>
          <w:szCs w:val="20"/>
          <w:color w:val="auto"/>
        </w:rPr>
        <w:tab/>
      </w:r>
      <w:hyperlink r:id="rId116">
        <w:r>
          <w:rPr>
            <w:rFonts w:ascii="Arial" w:cs="Arial" w:eastAsia="Arial" w:hAnsi="Arial"/>
            <w:sz w:val="17"/>
            <w:szCs w:val="17"/>
            <w:u w:val="single" w:color="auto"/>
            <w:color w:val="0000FF"/>
          </w:rPr>
          <w:t>Amended and Restated Certificate of</w:t>
        </w:r>
      </w:hyperlink>
      <w:r>
        <w:rPr>
          <w:rFonts w:ascii="Arial" w:cs="Arial" w:eastAsia="Arial" w:hAnsi="Arial"/>
          <w:sz w:val="17"/>
          <w:szCs w:val="17"/>
          <w:u w:val="single" w:color="auto"/>
          <w:color w:val="0000FF"/>
        </w:rPr>
        <w:t xml:space="preserve"> </w:t>
      </w:r>
      <w:hyperlink r:id="rId116">
        <w:r>
          <w:rPr>
            <w:rFonts w:ascii="Arial" w:cs="Arial" w:eastAsia="Arial" w:hAnsi="Arial"/>
            <w:sz w:val="17"/>
            <w:szCs w:val="17"/>
            <w:u w:val="single" w:color="auto"/>
            <w:color w:val="0000FF"/>
          </w:rPr>
          <w:t>Formation of Black Rock Coffee Bar, Inc.</w:t>
        </w:r>
      </w:hyperlink>
    </w:p>
    <w:p>
      <w:pPr>
        <w:spacing w:after="0" w:line="22" w:lineRule="exact"/>
        <w:rPr>
          <w:sz w:val="20"/>
          <w:szCs w:val="20"/>
          <w:color w:val="auto"/>
        </w:rPr>
      </w:pPr>
    </w:p>
    <w:p>
      <w:pPr>
        <w:ind w:left="1160" w:right="180" w:hanging="756"/>
        <w:spacing w:after="0" w:line="28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17">
        <w:r>
          <w:rPr>
            <w:rFonts w:ascii="Arial" w:cs="Arial" w:eastAsia="Arial" w:hAnsi="Arial"/>
            <w:sz w:val="18"/>
            <w:szCs w:val="18"/>
            <w:u w:val="single" w:color="auto"/>
            <w:color w:val="0000FF"/>
          </w:rPr>
          <w:t>Amended and Restated Bylaws of Black</w:t>
        </w:r>
      </w:hyperlink>
      <w:r>
        <w:rPr>
          <w:rFonts w:ascii="Arial" w:cs="Arial" w:eastAsia="Arial" w:hAnsi="Arial"/>
          <w:sz w:val="18"/>
          <w:szCs w:val="18"/>
          <w:u w:val="single" w:color="auto"/>
          <w:color w:val="0000FF"/>
        </w:rPr>
        <w:t xml:space="preserve"> </w:t>
      </w:r>
      <w:hyperlink r:id="rId117">
        <w:r>
          <w:rPr>
            <w:rFonts w:ascii="Arial" w:cs="Arial" w:eastAsia="Arial" w:hAnsi="Arial"/>
            <w:sz w:val="18"/>
            <w:szCs w:val="18"/>
            <w:u w:val="single" w:color="auto"/>
            <w:color w:val="0000FF"/>
          </w:rPr>
          <w:t>Rock Coffee Bar, Inc.</w:t>
        </w:r>
      </w:hyperlink>
    </w:p>
    <w:p>
      <w:pPr>
        <w:spacing w:after="0" w:line="45" w:lineRule="exact"/>
        <w:rPr>
          <w:sz w:val="20"/>
          <w:szCs w:val="20"/>
          <w:color w:val="auto"/>
        </w:rPr>
      </w:pPr>
    </w:p>
    <w:p>
      <w:pPr>
        <w:ind w:left="1160" w:right="80" w:hanging="756"/>
        <w:spacing w:after="0" w:line="287"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18">
        <w:r>
          <w:rPr>
            <w:rFonts w:ascii="Arial" w:cs="Arial" w:eastAsia="Arial" w:hAnsi="Arial"/>
            <w:sz w:val="18"/>
            <w:szCs w:val="18"/>
            <w:u w:val="single" w:color="auto"/>
            <w:color w:val="0000FF"/>
          </w:rPr>
          <w:t>Specimen stock certificate evidencing the</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shares of Class A common stock.</w:t>
        </w:r>
      </w:hyperlink>
    </w:p>
    <w:p>
      <w:pPr>
        <w:spacing w:after="0" w:line="45" w:lineRule="exact"/>
        <w:rPr>
          <w:sz w:val="20"/>
          <w:szCs w:val="20"/>
          <w:color w:val="auto"/>
        </w:rPr>
      </w:pPr>
    </w:p>
    <w:p>
      <w:pPr>
        <w:ind w:left="360"/>
        <w:spacing w:after="0"/>
        <w:tabs>
          <w:tab w:leader="none" w:pos="1140" w:val="left"/>
        </w:tabs>
        <w:rPr>
          <w:rFonts w:ascii="Arial" w:cs="Arial" w:eastAsia="Arial" w:hAnsi="Arial"/>
          <w:sz w:val="17"/>
          <w:szCs w:val="17"/>
          <w:u w:val="single" w:color="auto"/>
          <w:color w:val="0000FF"/>
        </w:rPr>
      </w:pPr>
      <w:r>
        <w:rPr>
          <w:rFonts w:ascii="Arial" w:cs="Arial" w:eastAsia="Arial" w:hAnsi="Arial"/>
          <w:sz w:val="18"/>
          <w:szCs w:val="18"/>
          <w:color w:val="auto"/>
        </w:rPr>
        <w:t>10.1</w:t>
      </w:r>
      <w:r>
        <w:rPr>
          <w:sz w:val="20"/>
          <w:szCs w:val="20"/>
          <w:color w:val="auto"/>
        </w:rPr>
        <w:tab/>
      </w:r>
      <w:hyperlink r:id="rId119">
        <w:r>
          <w:rPr>
            <w:rFonts w:ascii="Arial" w:cs="Arial" w:eastAsia="Arial" w:hAnsi="Arial"/>
            <w:sz w:val="17"/>
            <w:szCs w:val="17"/>
            <w:u w:val="single" w:color="auto"/>
            <w:color w:val="0000FF"/>
          </w:rPr>
          <w:t>Irrevocable Proxy, dated March 18, 2026</w:t>
        </w:r>
      </w:hyperlink>
    </w:p>
    <w:p>
      <w:pPr>
        <w:spacing w:after="0" w:line="117" w:lineRule="exact"/>
        <w:rPr>
          <w:sz w:val="20"/>
          <w:szCs w:val="20"/>
          <w:color w:val="auto"/>
        </w:rPr>
      </w:pPr>
    </w:p>
    <w:p>
      <w:pPr>
        <w:ind w:left="1160" w:hanging="806"/>
        <w:spacing w:after="0" w:line="256" w:lineRule="auto"/>
        <w:tabs>
          <w:tab w:leader="none" w:pos="114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20">
        <w:r>
          <w:rPr>
            <w:rFonts w:ascii="Arial" w:cs="Arial" w:eastAsia="Arial" w:hAnsi="Arial"/>
            <w:sz w:val="18"/>
            <w:szCs w:val="18"/>
            <w:u w:val="single" w:color="auto"/>
            <w:color w:val="0000FF"/>
          </w:rPr>
          <w:t>Letter Agreement, dated February 27,</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2026, to that certain Credit Agreement,</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dated September 15, 2025, by and among</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Black Rock Coffee Holdings, LLC, the</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Lenders party thereto and JPMorgan</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Chase Bank, N.A., as Administrative</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17" w:lineRule="exact"/>
        <w:rPr>
          <w:rFonts w:ascii="Arial" w:cs="Arial" w:eastAsia="Arial" w:hAnsi="Arial"/>
          <w:sz w:val="18"/>
          <w:szCs w:val="18"/>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39"/>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001-42844</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920" w:type="dxa"/>
            <w:vAlign w:val="bottom"/>
          </w:tcPr>
          <w:p>
            <w:pPr>
              <w:jc w:val="center"/>
              <w:ind w:left="190"/>
              <w:spacing w:after="0"/>
              <w:rPr>
                <w:sz w:val="20"/>
                <w:szCs w:val="20"/>
                <w:color w:val="auto"/>
              </w:rPr>
            </w:pPr>
            <w:r>
              <w:rPr>
                <w:rFonts w:ascii="Arial" w:cs="Arial" w:eastAsia="Arial" w:hAnsi="Arial"/>
                <w:sz w:val="18"/>
                <w:szCs w:val="18"/>
                <w:color w:val="auto"/>
              </w:rPr>
              <w:t>September 16, 2025</w:t>
            </w:r>
          </w:p>
        </w:tc>
      </w:tr>
      <w:tr>
        <w:trPr>
          <w:trHeight w:val="540"/>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001-42844</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920" w:type="dxa"/>
            <w:vAlign w:val="bottom"/>
          </w:tcPr>
          <w:p>
            <w:pPr>
              <w:jc w:val="center"/>
              <w:ind w:left="190"/>
              <w:spacing w:after="0"/>
              <w:rPr>
                <w:sz w:val="20"/>
                <w:szCs w:val="20"/>
                <w:color w:val="auto"/>
              </w:rPr>
            </w:pPr>
            <w:r>
              <w:rPr>
                <w:rFonts w:ascii="Arial" w:cs="Arial" w:eastAsia="Arial" w:hAnsi="Arial"/>
                <w:sz w:val="18"/>
                <w:szCs w:val="18"/>
                <w:color w:val="auto"/>
              </w:rPr>
              <w:t>September 16, 2025</w:t>
            </w:r>
          </w:p>
        </w:tc>
      </w:tr>
      <w:tr>
        <w:trPr>
          <w:trHeight w:val="540"/>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333-289685</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920" w:type="dxa"/>
            <w:vAlign w:val="bottom"/>
          </w:tcPr>
          <w:p>
            <w:pPr>
              <w:jc w:val="center"/>
              <w:ind w:left="190"/>
              <w:spacing w:after="0"/>
              <w:rPr>
                <w:sz w:val="20"/>
                <w:szCs w:val="20"/>
                <w:color w:val="auto"/>
              </w:rPr>
            </w:pPr>
            <w:r>
              <w:rPr>
                <w:rFonts w:ascii="Arial" w:cs="Arial" w:eastAsia="Arial" w:hAnsi="Arial"/>
                <w:sz w:val="18"/>
                <w:szCs w:val="18"/>
                <w:color w:val="auto"/>
                <w:w w:val="99"/>
              </w:rPr>
              <w:t>September 2, 2025</w:t>
            </w:r>
          </w:p>
        </w:tc>
      </w:tr>
      <w:tr>
        <w:trPr>
          <w:trHeight w:val="432"/>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001-42844</w:t>
            </w:r>
          </w:p>
        </w:tc>
        <w:tc>
          <w:tcPr>
            <w:tcW w:w="880" w:type="dxa"/>
            <w:vAlign w:val="bottom"/>
          </w:tcPr>
          <w:p>
            <w:pPr>
              <w:jc w:val="center"/>
              <w:spacing w:after="0"/>
              <w:rPr>
                <w:sz w:val="20"/>
                <w:szCs w:val="20"/>
                <w:color w:val="auto"/>
              </w:rPr>
            </w:pPr>
            <w:r>
              <w:rPr>
                <w:rFonts w:ascii="Arial" w:cs="Arial" w:eastAsia="Arial" w:hAnsi="Arial"/>
                <w:sz w:val="18"/>
                <w:szCs w:val="18"/>
                <w:color w:val="auto"/>
              </w:rPr>
              <w:t>10.1</w:t>
            </w:r>
          </w:p>
        </w:tc>
        <w:tc>
          <w:tcPr>
            <w:tcW w:w="1920" w:type="dxa"/>
            <w:vAlign w:val="bottom"/>
          </w:tcPr>
          <w:p>
            <w:pPr>
              <w:jc w:val="center"/>
              <w:ind w:left="190"/>
              <w:spacing w:after="0"/>
              <w:rPr>
                <w:sz w:val="20"/>
                <w:szCs w:val="20"/>
                <w:color w:val="auto"/>
              </w:rPr>
            </w:pPr>
            <w:r>
              <w:rPr>
                <w:rFonts w:ascii="Arial" w:cs="Arial" w:eastAsia="Arial" w:hAnsi="Arial"/>
                <w:sz w:val="18"/>
                <w:szCs w:val="18"/>
                <w:color w:val="auto"/>
                <w:w w:val="99"/>
              </w:rPr>
              <w:t>March 20, 2026</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33" w:lineRule="exact"/>
        <w:rPr>
          <w:rFonts w:ascii="Arial" w:cs="Arial" w:eastAsia="Arial" w:hAnsi="Arial"/>
          <w:sz w:val="18"/>
          <w:szCs w:val="18"/>
          <w:u w:val="single" w:color="auto"/>
          <w:color w:val="0000FF"/>
        </w:rPr>
      </w:pPr>
    </w:p>
    <w:p>
      <w:pPr>
        <w:ind w:left="20"/>
        <w:spacing w:after="0"/>
        <w:tabs>
          <w:tab w:leader="none" w:pos="880" w:val="left"/>
          <w:tab w:leader="none" w:pos="2200" w:val="left"/>
          <w:tab w:leader="none" w:pos="3440" w:val="left"/>
        </w:tabs>
        <w:rPr>
          <w:sz w:val="20"/>
          <w:szCs w:val="20"/>
          <w:color w:val="auto"/>
        </w:rPr>
      </w:pPr>
      <w:r>
        <w:rPr>
          <w:rFonts w:ascii="Arial" w:cs="Arial" w:eastAsia="Arial" w:hAnsi="Arial"/>
          <w:sz w:val="18"/>
          <w:szCs w:val="18"/>
          <w:color w:val="auto"/>
        </w:rPr>
        <w:t>10-K</w:t>
      </w:r>
      <w:r>
        <w:rPr>
          <w:sz w:val="20"/>
          <w:szCs w:val="20"/>
          <w:color w:val="auto"/>
        </w:rPr>
        <w:tab/>
      </w:r>
      <w:r>
        <w:rPr>
          <w:rFonts w:ascii="Arial" w:cs="Arial" w:eastAsia="Arial" w:hAnsi="Arial"/>
          <w:sz w:val="18"/>
          <w:szCs w:val="18"/>
          <w:color w:val="auto"/>
        </w:rPr>
        <w:t>001-42844</w:t>
      </w:r>
      <w:r>
        <w:rPr>
          <w:sz w:val="20"/>
          <w:szCs w:val="20"/>
          <w:color w:val="auto"/>
        </w:rPr>
        <w:tab/>
      </w:r>
      <w:r>
        <w:rPr>
          <w:rFonts w:ascii="Arial" w:cs="Arial" w:eastAsia="Arial" w:hAnsi="Arial"/>
          <w:sz w:val="18"/>
          <w:szCs w:val="18"/>
          <w:color w:val="auto"/>
        </w:rPr>
        <w:t>10.6.2</w:t>
      </w:r>
      <w:r>
        <w:rPr>
          <w:sz w:val="20"/>
          <w:szCs w:val="20"/>
          <w:color w:val="auto"/>
        </w:rPr>
        <w:tab/>
      </w:r>
      <w:r>
        <w:rPr>
          <w:rFonts w:ascii="Arial" w:cs="Arial" w:eastAsia="Arial" w:hAnsi="Arial"/>
          <w:sz w:val="18"/>
          <w:szCs w:val="18"/>
          <w:color w:val="auto"/>
        </w:rPr>
        <w:t>March 4, 2026</w:t>
      </w:r>
    </w:p>
    <w:p>
      <w:pPr>
        <w:spacing w:after="0" w:line="765" w:lineRule="exact"/>
        <w:rPr>
          <w:rFonts w:ascii="Arial" w:cs="Arial" w:eastAsia="Arial" w:hAnsi="Arial"/>
          <w:sz w:val="18"/>
          <w:szCs w:val="18"/>
          <w:u w:val="single" w:color="auto"/>
          <w:color w:val="0000FF"/>
        </w:rPr>
      </w:pPr>
    </w:p>
    <w:p>
      <w:pPr>
        <w:sectPr>
          <w:pgSz w:w="11900" w:h="16838" w:orient="portrait"/>
          <w:cols w:equalWidth="0" w:num="2">
            <w:col w:w="4540" w:space="260"/>
            <w:col w:w="6420"/>
          </w:cols>
          <w:pgMar w:left="320" w:top="122" w:right="359" w:bottom="1440" w:gutter="0" w:footer="0" w:header="0"/>
          <w:type w:val="continuous"/>
        </w:sectPr>
      </w:pPr>
    </w:p>
    <w:p>
      <w:pPr>
        <w:ind w:left="36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u w:val="single" w:color="auto"/>
          <w:color w:val="0000FF"/>
        </w:rPr>
        <w:t>Certification by Chief Executive Officer</w:t>
      </w:r>
    </w:p>
    <w:p>
      <w:pPr>
        <w:spacing w:after="0" w:line="27"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pursuant to Rule 13a-14(a) and 15d-14(a)</w:t>
      </w:r>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of the Exchange Act Rules, as adopted</w:t>
      </w:r>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pursuant to Section 302 of the Sarbanes-</w:t>
      </w:r>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Oxley Act of 2002.</w:t>
      </w:r>
    </w:p>
    <w:p>
      <w:pPr>
        <w:spacing w:after="0" w:line="99" w:lineRule="exact"/>
        <w:rPr>
          <w:rFonts w:ascii="Arial" w:cs="Arial" w:eastAsia="Arial" w:hAnsi="Arial"/>
          <w:sz w:val="18"/>
          <w:szCs w:val="18"/>
          <w:u w:val="single" w:color="auto"/>
          <w:color w:val="0000FF"/>
        </w:rPr>
      </w:pPr>
    </w:p>
    <w:p>
      <w:pPr>
        <w:ind w:left="36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u w:val="single" w:color="auto"/>
          <w:color w:val="0000FF"/>
        </w:rPr>
        <w:t>Certification by Chief Financial Officer</w:t>
      </w:r>
    </w:p>
    <w:p>
      <w:pPr>
        <w:spacing w:after="0" w:line="27"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pursuant to Rule 13a-14(a) and 15d-14(a)</w:t>
      </w:r>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of the Exchange Act Rules, as adopted</w:t>
      </w:r>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pursuant to Section 302 of the Sarbanes-</w:t>
      </w:r>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Oxley Act of 2002.</w:t>
      </w:r>
    </w:p>
    <w:p>
      <w:pPr>
        <w:spacing w:after="0" w:line="99" w:lineRule="exact"/>
        <w:rPr>
          <w:rFonts w:ascii="Arial" w:cs="Arial" w:eastAsia="Arial" w:hAnsi="Arial"/>
          <w:sz w:val="18"/>
          <w:szCs w:val="18"/>
          <w:u w:val="single" w:color="auto"/>
          <w:color w:val="0000FF"/>
        </w:rPr>
      </w:pPr>
    </w:p>
    <w:p>
      <w:pPr>
        <w:ind w:left="360"/>
        <w:spacing w:after="0"/>
        <w:tabs>
          <w:tab w:leader="none" w:pos="11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7"/>
          <w:szCs w:val="17"/>
          <w:u w:val="single" w:color="auto"/>
          <w:color w:val="0000FF"/>
        </w:rPr>
        <w:t>Certification by Chief Executive Officer</w:t>
      </w:r>
    </w:p>
    <w:p>
      <w:pPr>
        <w:spacing w:after="0" w:line="27"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pursuant to Title 18 U.S.C. Section 1350,</w:t>
      </w:r>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as adopted pursuant to Section 906 of</w:t>
      </w:r>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Sarbanes-Oxley Act of 2002.</w:t>
      </w:r>
    </w:p>
    <w:p>
      <w:pPr>
        <w:spacing w:after="0" w:line="99" w:lineRule="exact"/>
        <w:rPr>
          <w:rFonts w:ascii="Arial" w:cs="Arial" w:eastAsia="Arial" w:hAnsi="Arial"/>
          <w:sz w:val="18"/>
          <w:szCs w:val="18"/>
          <w:u w:val="single" w:color="auto"/>
          <w:color w:val="0000FF"/>
        </w:rPr>
      </w:pPr>
    </w:p>
    <w:p>
      <w:pPr>
        <w:ind w:left="360"/>
        <w:spacing w:after="0"/>
        <w:tabs>
          <w:tab w:leader="none" w:pos="11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7"/>
          <w:szCs w:val="17"/>
          <w:u w:val="single" w:color="auto"/>
          <w:color w:val="0000FF"/>
        </w:rPr>
        <w:t>Certification by Chief Financial Officer</w:t>
      </w:r>
    </w:p>
    <w:p>
      <w:pPr>
        <w:spacing w:after="0" w:line="27"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pursuant to Title 18 U.S.C. Section 1350,</w:t>
      </w:r>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as adopted pursuant to Section 906 of</w:t>
      </w:r>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u w:val="single" w:color="auto"/>
          <w:color w:val="0000FF"/>
        </w:rPr>
        <w:t>Sarbanes-Oxley Act of 2002.</w:t>
      </w:r>
    </w:p>
    <w:p>
      <w:pPr>
        <w:spacing w:after="0" w:line="99" w:lineRule="exact"/>
        <w:rPr>
          <w:rFonts w:ascii="Arial" w:cs="Arial" w:eastAsia="Arial" w:hAnsi="Arial"/>
          <w:sz w:val="18"/>
          <w:szCs w:val="18"/>
          <w:u w:val="single" w:color="auto"/>
          <w:color w:val="0000FF"/>
        </w:rPr>
      </w:pPr>
    </w:p>
    <w:p>
      <w:pPr>
        <w:ind w:left="200"/>
        <w:spacing w:after="0"/>
        <w:tabs>
          <w:tab w:leader="none" w:pos="1140" w:val="left"/>
        </w:tabs>
        <w:rPr>
          <w:sz w:val="20"/>
          <w:szCs w:val="20"/>
          <w:color w:val="auto"/>
        </w:rPr>
      </w:pPr>
      <w:r>
        <w:rPr>
          <w:rFonts w:ascii="Arial" w:cs="Arial" w:eastAsia="Arial" w:hAnsi="Arial"/>
          <w:sz w:val="18"/>
          <w:szCs w:val="18"/>
          <w:color w:val="auto"/>
        </w:rPr>
        <w:t>101.INS</w:t>
      </w:r>
      <w:r>
        <w:rPr>
          <w:sz w:val="20"/>
          <w:szCs w:val="20"/>
          <w:color w:val="auto"/>
        </w:rPr>
        <w:tab/>
      </w:r>
      <w:r>
        <w:rPr>
          <w:rFonts w:ascii="Arial" w:cs="Arial" w:eastAsia="Arial" w:hAnsi="Arial"/>
          <w:sz w:val="17"/>
          <w:szCs w:val="17"/>
          <w:color w:val="auto"/>
        </w:rPr>
        <w:t>XBRL Instance Document - the instance</w:t>
      </w:r>
    </w:p>
    <w:p>
      <w:pPr>
        <w:spacing w:after="0" w:line="27"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color w:val="auto"/>
        </w:rPr>
        <w:t>document does not appear in the</w:t>
      </w:r>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color w:val="auto"/>
        </w:rPr>
        <w:t>Interactive Data File because its XBRL</w:t>
      </w:r>
    </w:p>
    <w:p>
      <w:pPr>
        <w:spacing w:after="0" w:line="9"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7"/>
          <w:szCs w:val="17"/>
          <w:color w:val="auto"/>
        </w:rPr>
        <w:t>tags are embedded within the Inline XBRL</w:t>
      </w:r>
    </w:p>
    <w:p>
      <w:pPr>
        <w:spacing w:after="0" w:line="21" w:lineRule="exact"/>
        <w:rPr>
          <w:rFonts w:ascii="Arial" w:cs="Arial" w:eastAsia="Arial" w:hAnsi="Arial"/>
          <w:sz w:val="18"/>
          <w:szCs w:val="18"/>
          <w:u w:val="single" w:color="auto"/>
          <w:color w:val="0000FF"/>
        </w:rPr>
      </w:pPr>
    </w:p>
    <w:p>
      <w:pPr>
        <w:ind w:left="1160"/>
        <w:spacing w:after="0"/>
        <w:rPr>
          <w:sz w:val="20"/>
          <w:szCs w:val="20"/>
          <w:color w:val="auto"/>
        </w:rPr>
      </w:pPr>
      <w:r>
        <w:rPr>
          <w:rFonts w:ascii="Arial" w:cs="Arial" w:eastAsia="Arial" w:hAnsi="Arial"/>
          <w:sz w:val="18"/>
          <w:szCs w:val="18"/>
          <w:color w:val="auto"/>
        </w:rPr>
        <w:t>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12" w:lineRule="exact"/>
        <w:rPr>
          <w:rFonts w:ascii="Arial" w:cs="Arial" w:eastAsia="Arial" w:hAnsi="Arial"/>
          <w:sz w:val="18"/>
          <w:szCs w:val="18"/>
          <w:u w:val="single" w:color="auto"/>
          <w:color w:val="0000FF"/>
        </w:rPr>
      </w:pPr>
    </w:p>
    <w:p>
      <w:pPr>
        <w:ind w:left="200"/>
        <w:spacing w:after="0"/>
        <w:rPr>
          <w:sz w:val="20"/>
          <w:szCs w:val="20"/>
          <w:color w:val="auto"/>
        </w:rPr>
      </w:pPr>
      <w:r>
        <w:rPr>
          <w:rFonts w:ascii="Arial" w:cs="Arial" w:eastAsia="Arial" w:hAnsi="Arial"/>
          <w:sz w:val="18"/>
          <w:szCs w:val="18"/>
          <w:color w:val="auto"/>
        </w:rPr>
        <w:t>Filed</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81" w:lineRule="exact"/>
        <w:rPr>
          <w:rFonts w:ascii="Arial" w:cs="Arial" w:eastAsia="Arial" w:hAnsi="Arial"/>
          <w:sz w:val="18"/>
          <w:szCs w:val="18"/>
          <w:u w:val="single" w:color="auto"/>
          <w:color w:val="0000FF"/>
        </w:rPr>
      </w:pPr>
    </w:p>
    <w:p>
      <w:pPr>
        <w:ind w:left="200"/>
        <w:spacing w:after="0"/>
        <w:rPr>
          <w:sz w:val="20"/>
          <w:szCs w:val="20"/>
          <w:color w:val="auto"/>
        </w:rPr>
      </w:pPr>
      <w:r>
        <w:rPr>
          <w:rFonts w:ascii="Arial" w:cs="Arial" w:eastAsia="Arial" w:hAnsi="Arial"/>
          <w:sz w:val="18"/>
          <w:szCs w:val="18"/>
          <w:color w:val="auto"/>
        </w:rPr>
        <w:t>Filed</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3"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Furnished</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7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Furnished</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5" w:lineRule="exact"/>
        <w:rPr>
          <w:rFonts w:ascii="Arial" w:cs="Arial" w:eastAsia="Arial" w:hAnsi="Arial"/>
          <w:sz w:val="18"/>
          <w:szCs w:val="18"/>
          <w:u w:val="single" w:color="auto"/>
          <w:color w:val="0000FF"/>
        </w:rPr>
      </w:pPr>
    </w:p>
    <w:p>
      <w:pPr>
        <w:ind w:left="200"/>
        <w:spacing w:after="0"/>
        <w:rPr>
          <w:sz w:val="20"/>
          <w:szCs w:val="20"/>
          <w:color w:val="auto"/>
        </w:rPr>
      </w:pPr>
      <w:r>
        <w:rPr>
          <w:rFonts w:ascii="Arial" w:cs="Arial" w:eastAsia="Arial" w:hAnsi="Arial"/>
          <w:sz w:val="18"/>
          <w:szCs w:val="18"/>
          <w:color w:val="auto"/>
        </w:rPr>
        <w:t>Filed</w:t>
      </w:r>
    </w:p>
    <w:p>
      <w:pPr>
        <w:spacing w:after="0" w:line="650" w:lineRule="exact"/>
        <w:rPr>
          <w:rFonts w:ascii="Arial" w:cs="Arial" w:eastAsia="Arial" w:hAnsi="Arial"/>
          <w:sz w:val="18"/>
          <w:szCs w:val="18"/>
          <w:u w:val="single" w:color="auto"/>
          <w:color w:val="0000FF"/>
        </w:rPr>
      </w:pPr>
    </w:p>
    <w:p>
      <w:pPr>
        <w:sectPr>
          <w:pgSz w:w="11900" w:h="16838" w:orient="portrait"/>
          <w:cols w:equalWidth="0" w:num="2">
            <w:col w:w="9500" w:space="720"/>
            <w:col w:w="1000"/>
          </w:cols>
          <w:pgMar w:left="320" w:top="122" w:right="359"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2"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5"/>
          </w:tcPr>
          <w:p>
            <w:pPr>
              <w:jc w:val="center"/>
              <w:ind w:left="639"/>
              <w:spacing w:after="0"/>
              <w:rPr>
                <w:sz w:val="20"/>
                <w:szCs w:val="20"/>
                <w:color w:val="auto"/>
              </w:rPr>
            </w:pPr>
            <w:r>
              <w:rPr>
                <w:rFonts w:ascii="Arial" w:cs="Arial" w:eastAsia="Arial" w:hAnsi="Arial"/>
                <w:sz w:val="16"/>
                <w:szCs w:val="16"/>
                <w:b w:val="1"/>
                <w:bCs w:val="1"/>
                <w:color w:val="auto"/>
              </w:rPr>
              <w:t>Incorporated by Reference</w:t>
            </w:r>
          </w:p>
        </w:tc>
        <w:tc>
          <w:tcPr>
            <w:tcW w:w="15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88"/>
        </w:trPr>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Exhibit</w:t>
            </w: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Filed/Furnished</w:t>
            </w:r>
          </w:p>
        </w:tc>
      </w:tr>
      <w:tr>
        <w:trPr>
          <w:trHeight w:val="240"/>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20"/>
                <w:szCs w:val="20"/>
                <w:color w:val="auto"/>
              </w:rPr>
            </w:pPr>
          </w:p>
        </w:tc>
        <w:tc>
          <w:tcPr>
            <w:tcW w:w="3440" w:type="dxa"/>
            <w:vAlign w:val="bottom"/>
            <w:tcBorders>
              <w:bottom w:val="single" w:sz="8" w:color="auto"/>
            </w:tcBorders>
          </w:tcPr>
          <w:p>
            <w:pPr>
              <w:ind w:left="980"/>
              <w:spacing w:after="0"/>
              <w:rPr>
                <w:sz w:val="20"/>
                <w:szCs w:val="20"/>
                <w:color w:val="auto"/>
              </w:rPr>
            </w:pPr>
            <w:r>
              <w:rPr>
                <w:rFonts w:ascii="Arial" w:cs="Arial" w:eastAsia="Arial" w:hAnsi="Arial"/>
                <w:sz w:val="16"/>
                <w:szCs w:val="16"/>
                <w:b w:val="1"/>
                <w:bCs w:val="1"/>
                <w:color w:val="auto"/>
              </w:rPr>
              <w:t>Exhibit Description</w:t>
            </w:r>
          </w:p>
        </w:tc>
        <w:tc>
          <w:tcPr>
            <w:tcW w:w="100" w:type="dxa"/>
            <w:vAlign w:val="bottom"/>
          </w:tcPr>
          <w:p>
            <w:pPr>
              <w:spacing w:after="0"/>
              <w:rPr>
                <w:sz w:val="20"/>
                <w:szCs w:val="20"/>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Form</w:t>
            </w:r>
          </w:p>
        </w:tc>
        <w:tc>
          <w:tcPr>
            <w:tcW w:w="100" w:type="dxa"/>
            <w:vAlign w:val="bottom"/>
          </w:tcPr>
          <w:p>
            <w:pPr>
              <w:spacing w:after="0"/>
              <w:rPr>
                <w:sz w:val="20"/>
                <w:szCs w:val="20"/>
                <w:color w:val="auto"/>
              </w:rPr>
            </w:pPr>
          </w:p>
        </w:tc>
        <w:tc>
          <w:tcPr>
            <w:tcW w:w="130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File No.</w:t>
            </w:r>
          </w:p>
        </w:tc>
        <w:tc>
          <w:tcPr>
            <w:tcW w:w="10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Filing Date</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Herewith</w:t>
            </w:r>
          </w:p>
        </w:tc>
      </w:tr>
    </w:tbl>
    <w:p>
      <w:pPr>
        <w:spacing w:after="0" w:line="49" w:lineRule="exact"/>
        <w:rPr>
          <w:sz w:val="20"/>
          <w:szCs w:val="20"/>
          <w:color w:val="auto"/>
        </w:rPr>
      </w:pPr>
    </w:p>
    <w:p>
      <w:pPr>
        <w:sectPr>
          <w:pgSz w:w="11900" w:h="16838" w:orient="portrait"/>
          <w:cols w:equalWidth="0" w:num="1">
            <w:col w:w="11240"/>
          </w:cols>
          <w:pgMar w:left="320" w:top="122" w:right="339" w:bottom="1440" w:gutter="0" w:footer="0" w:header="0"/>
        </w:sectPr>
      </w:pPr>
    </w:p>
    <w:tbl>
      <w:tblPr>
        <w:tblLayout w:type="fixed"/>
        <w:tblInd w:w="16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380" w:type="dxa"/>
            <w:vAlign w:val="bottom"/>
          </w:tcPr>
          <w:p>
            <w:pPr>
              <w:ind w:left="140"/>
              <w:spacing w:after="0"/>
              <w:rPr>
                <w:sz w:val="20"/>
                <w:szCs w:val="20"/>
                <w:color w:val="auto"/>
              </w:rPr>
            </w:pPr>
            <w:r>
              <w:rPr>
                <w:rFonts w:ascii="Arial" w:cs="Arial" w:eastAsia="Arial" w:hAnsi="Arial"/>
                <w:sz w:val="18"/>
                <w:szCs w:val="18"/>
                <w:color w:val="auto"/>
              </w:rPr>
              <w:t>XBRL Taxonomy Extension Schema</w:t>
            </w:r>
          </w:p>
        </w:tc>
      </w:tr>
      <w:tr>
        <w:trPr>
          <w:trHeight w:val="239"/>
        </w:trPr>
        <w:tc>
          <w:tcPr>
            <w:tcW w:w="86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Document.</w:t>
            </w:r>
          </w:p>
        </w:tc>
      </w:tr>
      <w:tr>
        <w:trPr>
          <w:trHeight w:val="301"/>
        </w:trPr>
        <w:tc>
          <w:tcPr>
            <w:tcW w:w="860" w:type="dxa"/>
            <w:vAlign w:val="bottom"/>
          </w:tcPr>
          <w:p>
            <w:pPr>
              <w:ind w:left="20"/>
              <w:spacing w:after="0"/>
              <w:rPr>
                <w:sz w:val="20"/>
                <w:szCs w:val="20"/>
                <w:color w:val="auto"/>
              </w:rPr>
            </w:pPr>
            <w:r>
              <w:rPr>
                <w:rFonts w:ascii="Arial" w:cs="Arial" w:eastAsia="Arial" w:hAnsi="Arial"/>
                <w:sz w:val="18"/>
                <w:szCs w:val="18"/>
                <w:color w:val="auto"/>
              </w:rPr>
              <w:t>101.CAL</w:t>
            </w:r>
          </w:p>
        </w:tc>
        <w:tc>
          <w:tcPr>
            <w:tcW w:w="3380" w:type="dxa"/>
            <w:vAlign w:val="bottom"/>
          </w:tcPr>
          <w:p>
            <w:pPr>
              <w:ind w:left="140"/>
              <w:spacing w:after="0"/>
              <w:rPr>
                <w:sz w:val="20"/>
                <w:szCs w:val="20"/>
                <w:color w:val="auto"/>
              </w:rPr>
            </w:pPr>
            <w:r>
              <w:rPr>
                <w:rFonts w:ascii="Arial" w:cs="Arial" w:eastAsia="Arial" w:hAnsi="Arial"/>
                <w:sz w:val="18"/>
                <w:szCs w:val="18"/>
                <w:color w:val="auto"/>
              </w:rPr>
              <w:t>XBRL Taxonomy Extension Calculation</w:t>
            </w:r>
          </w:p>
        </w:tc>
      </w:tr>
      <w:tr>
        <w:trPr>
          <w:trHeight w:val="239"/>
        </w:trPr>
        <w:tc>
          <w:tcPr>
            <w:tcW w:w="86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Linkbase Document.</w:t>
            </w:r>
          </w:p>
        </w:tc>
      </w:tr>
      <w:tr>
        <w:trPr>
          <w:trHeight w:val="301"/>
        </w:trPr>
        <w:tc>
          <w:tcPr>
            <w:tcW w:w="860" w:type="dxa"/>
            <w:vAlign w:val="bottom"/>
          </w:tcPr>
          <w:p>
            <w:pPr>
              <w:ind w:left="20"/>
              <w:spacing w:after="0"/>
              <w:rPr>
                <w:sz w:val="20"/>
                <w:szCs w:val="20"/>
                <w:color w:val="auto"/>
              </w:rPr>
            </w:pPr>
            <w:r>
              <w:rPr>
                <w:rFonts w:ascii="Arial" w:cs="Arial" w:eastAsia="Arial" w:hAnsi="Arial"/>
                <w:sz w:val="18"/>
                <w:szCs w:val="18"/>
                <w:color w:val="auto"/>
              </w:rPr>
              <w:t>101.DEF</w:t>
            </w:r>
          </w:p>
        </w:tc>
        <w:tc>
          <w:tcPr>
            <w:tcW w:w="3380" w:type="dxa"/>
            <w:vAlign w:val="bottom"/>
          </w:tcPr>
          <w:p>
            <w:pPr>
              <w:ind w:left="140"/>
              <w:spacing w:after="0"/>
              <w:rPr>
                <w:sz w:val="20"/>
                <w:szCs w:val="20"/>
                <w:color w:val="auto"/>
              </w:rPr>
            </w:pPr>
            <w:r>
              <w:rPr>
                <w:rFonts w:ascii="Arial" w:cs="Arial" w:eastAsia="Arial" w:hAnsi="Arial"/>
                <w:sz w:val="18"/>
                <w:szCs w:val="18"/>
                <w:color w:val="auto"/>
              </w:rPr>
              <w:t>XBRL Taxonomy Extension Definition</w:t>
            </w:r>
          </w:p>
        </w:tc>
      </w:tr>
      <w:tr>
        <w:trPr>
          <w:trHeight w:val="239"/>
        </w:trPr>
        <w:tc>
          <w:tcPr>
            <w:tcW w:w="86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Linkbase Document.</w:t>
            </w:r>
          </w:p>
        </w:tc>
      </w:tr>
      <w:tr>
        <w:trPr>
          <w:trHeight w:val="301"/>
        </w:trPr>
        <w:tc>
          <w:tcPr>
            <w:tcW w:w="860" w:type="dxa"/>
            <w:vAlign w:val="bottom"/>
          </w:tcPr>
          <w:p>
            <w:pPr>
              <w:ind w:left="20"/>
              <w:spacing w:after="0"/>
              <w:rPr>
                <w:sz w:val="20"/>
                <w:szCs w:val="20"/>
                <w:color w:val="auto"/>
              </w:rPr>
            </w:pPr>
            <w:r>
              <w:rPr>
                <w:rFonts w:ascii="Arial" w:cs="Arial" w:eastAsia="Arial" w:hAnsi="Arial"/>
                <w:sz w:val="18"/>
                <w:szCs w:val="18"/>
                <w:color w:val="auto"/>
              </w:rPr>
              <w:t>101.LAB</w:t>
            </w:r>
          </w:p>
        </w:tc>
        <w:tc>
          <w:tcPr>
            <w:tcW w:w="3380" w:type="dxa"/>
            <w:vAlign w:val="bottom"/>
          </w:tcPr>
          <w:p>
            <w:pPr>
              <w:ind w:left="140"/>
              <w:spacing w:after="0"/>
              <w:rPr>
                <w:sz w:val="20"/>
                <w:szCs w:val="20"/>
                <w:color w:val="auto"/>
              </w:rPr>
            </w:pPr>
            <w:r>
              <w:rPr>
                <w:rFonts w:ascii="Arial" w:cs="Arial" w:eastAsia="Arial" w:hAnsi="Arial"/>
                <w:sz w:val="18"/>
                <w:szCs w:val="18"/>
                <w:color w:val="auto"/>
              </w:rPr>
              <w:t>XBRL Taxonomy Extension Label</w:t>
            </w:r>
          </w:p>
        </w:tc>
      </w:tr>
      <w:tr>
        <w:trPr>
          <w:trHeight w:val="239"/>
        </w:trPr>
        <w:tc>
          <w:tcPr>
            <w:tcW w:w="86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Linkbase Document.</w:t>
            </w:r>
          </w:p>
        </w:tc>
      </w:tr>
      <w:tr>
        <w:trPr>
          <w:trHeight w:val="301"/>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380" w:type="dxa"/>
            <w:vAlign w:val="bottom"/>
          </w:tcPr>
          <w:p>
            <w:pPr>
              <w:ind w:left="140"/>
              <w:spacing w:after="0"/>
              <w:rPr>
                <w:sz w:val="20"/>
                <w:szCs w:val="20"/>
                <w:color w:val="auto"/>
              </w:rPr>
            </w:pPr>
            <w:r>
              <w:rPr>
                <w:rFonts w:ascii="Arial" w:cs="Arial" w:eastAsia="Arial" w:hAnsi="Arial"/>
                <w:sz w:val="18"/>
                <w:szCs w:val="18"/>
                <w:color w:val="auto"/>
                <w:w w:val="98"/>
              </w:rPr>
              <w:t>XBRL Taxonomy Extension Presentation</w:t>
            </w:r>
          </w:p>
        </w:tc>
      </w:tr>
      <w:tr>
        <w:trPr>
          <w:trHeight w:val="239"/>
        </w:trPr>
        <w:tc>
          <w:tcPr>
            <w:tcW w:w="860" w:type="dxa"/>
            <w:vAlign w:val="bottom"/>
          </w:tcPr>
          <w:p>
            <w:pPr>
              <w:spacing w:after="0"/>
              <w:rPr>
                <w:sz w:val="20"/>
                <w:szCs w:val="20"/>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rPr>
              <w:t>Linkbase Document.</w:t>
            </w:r>
          </w:p>
        </w:tc>
      </w:tr>
    </w:tbl>
    <w:p>
      <w:pPr>
        <w:spacing w:after="0" w:line="85" w:lineRule="exact"/>
        <w:rPr>
          <w:sz w:val="20"/>
          <w:szCs w:val="20"/>
          <w:color w:val="auto"/>
        </w:rPr>
      </w:pPr>
    </w:p>
    <w:p>
      <w:pPr>
        <w:ind w:left="1160" w:right="5300" w:hanging="782"/>
        <w:spacing w:after="0" w:line="268" w:lineRule="auto"/>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Filed</w:t>
      </w:r>
    </w:p>
    <w:p>
      <w:pPr>
        <w:spacing w:after="0" w:line="470" w:lineRule="exact"/>
        <w:rPr>
          <w:sz w:val="20"/>
          <w:szCs w:val="20"/>
          <w:color w:val="auto"/>
        </w:rPr>
      </w:pPr>
    </w:p>
    <w:p>
      <w:pPr>
        <w:sectPr>
          <w:pgSz w:w="11900" w:h="16838" w:orient="portrait"/>
          <w:cols w:equalWidth="0" w:num="2">
            <w:col w:w="9700" w:space="720"/>
            <w:col w:w="820"/>
          </w:cols>
          <w:pgMar w:left="320" w:top="122" w:right="339" w:bottom="1440" w:gutter="0" w:footer="0" w:header="0"/>
          <w:type w:val="continuous"/>
        </w:sectPr>
      </w:pPr>
    </w:p>
    <w:p>
      <w:pPr>
        <w:spacing w:after="0" w:line="7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agreements and other documents filed as exhibits to this report are not intended to provide factual information or other disclosure other than the terms of the agreements or other documents themselves, and you should not rely on them for that purpose. In particular, any representations and warranties made by the Company in these agreements or other documents were made solely within the specific context of the relevant agreement or document and may not describe the actual state of affairs as of the date they were made or at any other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SIGNATURES</w:t>
      </w:r>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340" w:type="dxa"/>
            <w:vAlign w:val="bottom"/>
          </w:tcPr>
          <w:p>
            <w:pPr>
              <w:ind w:left="20"/>
              <w:spacing w:after="0"/>
              <w:rPr>
                <w:sz w:val="20"/>
                <w:szCs w:val="20"/>
                <w:color w:val="auto"/>
              </w:rPr>
            </w:pPr>
            <w:r>
              <w:rPr>
                <w:rFonts w:ascii="Arial" w:cs="Arial" w:eastAsia="Arial" w:hAnsi="Arial"/>
                <w:sz w:val="16"/>
                <w:szCs w:val="16"/>
                <w:b w:val="1"/>
                <w:bCs w:val="1"/>
                <w:color w:val="auto"/>
              </w:rPr>
              <w:t>BLACK ROCK COFFEE BAR, INC.</w:t>
            </w:r>
          </w:p>
        </w:tc>
      </w:tr>
      <w:tr>
        <w:trPr>
          <w:trHeight w:val="235"/>
        </w:trPr>
        <w:tc>
          <w:tcPr>
            <w:tcW w:w="4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6"/>
                <w:szCs w:val="16"/>
                <w:color w:val="auto"/>
              </w:rPr>
              <w:t>(Registrant)</w:t>
            </w:r>
          </w:p>
        </w:tc>
      </w:tr>
      <w:tr>
        <w:trPr>
          <w:trHeight w:val="317"/>
        </w:trPr>
        <w:tc>
          <w:tcPr>
            <w:tcW w:w="4000" w:type="dxa"/>
            <w:vAlign w:val="bottom"/>
          </w:tcPr>
          <w:p>
            <w:pPr>
              <w:ind w:left="20"/>
              <w:spacing w:after="0"/>
              <w:rPr>
                <w:sz w:val="20"/>
                <w:szCs w:val="20"/>
                <w:color w:val="auto"/>
              </w:rPr>
            </w:pPr>
            <w:r>
              <w:rPr>
                <w:rFonts w:ascii="Arial" w:cs="Arial" w:eastAsia="Arial" w:hAnsi="Arial"/>
                <w:sz w:val="18"/>
                <w:szCs w:val="18"/>
                <w:color w:val="auto"/>
              </w:rPr>
              <w:t>May 12, 2026</w:t>
            </w:r>
          </w:p>
        </w:tc>
        <w:tc>
          <w:tcPr>
            <w:tcW w:w="2900" w:type="dxa"/>
            <w:vAlign w:val="bottom"/>
          </w:tcPr>
          <w:p>
            <w:pPr>
              <w:jc w:val="right"/>
              <w:spacing w:after="0"/>
              <w:rPr>
                <w:sz w:val="20"/>
                <w:szCs w:val="20"/>
                <w:color w:val="auto"/>
              </w:rPr>
            </w:pPr>
            <w:r>
              <w:rPr>
                <w:rFonts w:ascii="Arial" w:cs="Arial" w:eastAsia="Arial" w:hAnsi="Arial"/>
                <w:sz w:val="18"/>
                <w:szCs w:val="18"/>
                <w:color w:val="auto"/>
              </w:rPr>
              <w:t>By:</w:t>
            </w:r>
          </w:p>
        </w:tc>
        <w:tc>
          <w:tcPr>
            <w:tcW w:w="4340" w:type="dxa"/>
            <w:vAlign w:val="bottom"/>
          </w:tcPr>
          <w:p>
            <w:pPr>
              <w:jc w:val="center"/>
              <w:spacing w:after="0"/>
              <w:rPr>
                <w:sz w:val="20"/>
                <w:szCs w:val="20"/>
                <w:color w:val="auto"/>
              </w:rPr>
            </w:pPr>
            <w:r>
              <w:rPr>
                <w:rFonts w:ascii="Arial" w:cs="Arial" w:eastAsia="Arial" w:hAnsi="Arial"/>
                <w:sz w:val="18"/>
                <w:szCs w:val="18"/>
                <w:color w:val="auto"/>
              </w:rPr>
              <w:t>/s/ Mark D. Davis</w:t>
            </w:r>
          </w:p>
        </w:tc>
      </w:tr>
      <w:tr>
        <w:trPr>
          <w:trHeight w:val="23"/>
        </w:trPr>
        <w:tc>
          <w:tcPr>
            <w:tcW w:w="40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1"/>
        </w:trPr>
        <w:tc>
          <w:tcPr>
            <w:tcW w:w="4000" w:type="dxa"/>
            <w:vAlign w:val="bottom"/>
          </w:tcPr>
          <w:p>
            <w:pPr>
              <w:ind w:left="20"/>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rPr>
              <w:t>Mark D. Davis</w:t>
            </w:r>
          </w:p>
        </w:tc>
      </w:tr>
      <w:tr>
        <w:trPr>
          <w:trHeight w:val="270"/>
        </w:trPr>
        <w:tc>
          <w:tcPr>
            <w:tcW w:w="40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9"/>
              </w:rPr>
              <w:t>Chief Executive Officer</w:t>
            </w:r>
          </w:p>
        </w:tc>
      </w:tr>
      <w:tr>
        <w:trPr>
          <w:trHeight w:val="270"/>
        </w:trPr>
        <w:tc>
          <w:tcPr>
            <w:tcW w:w="40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34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Executive Officer)</w:t>
            </w:r>
          </w:p>
        </w:tc>
      </w:tr>
      <w:tr>
        <w:trPr>
          <w:trHeight w:val="540"/>
        </w:trPr>
        <w:tc>
          <w:tcPr>
            <w:tcW w:w="4000" w:type="dxa"/>
            <w:vAlign w:val="bottom"/>
          </w:tcPr>
          <w:p>
            <w:pPr>
              <w:ind w:left="20"/>
              <w:spacing w:after="0"/>
              <w:rPr>
                <w:sz w:val="20"/>
                <w:szCs w:val="20"/>
                <w:color w:val="auto"/>
              </w:rPr>
            </w:pPr>
            <w:r>
              <w:rPr>
                <w:rFonts w:ascii="Arial" w:cs="Arial" w:eastAsia="Arial" w:hAnsi="Arial"/>
                <w:sz w:val="18"/>
                <w:szCs w:val="18"/>
                <w:color w:val="auto"/>
              </w:rPr>
              <w:t>May 12, 2026</w:t>
            </w:r>
          </w:p>
        </w:tc>
        <w:tc>
          <w:tcPr>
            <w:tcW w:w="2900" w:type="dxa"/>
            <w:vAlign w:val="bottom"/>
          </w:tcPr>
          <w:p>
            <w:pPr>
              <w:spacing w:after="0"/>
              <w:rPr>
                <w:sz w:val="24"/>
                <w:szCs w:val="24"/>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8"/>
              </w:rPr>
              <w:t>/s/ Rodderick F. Booth</w:t>
            </w:r>
          </w:p>
        </w:tc>
      </w:tr>
      <w:tr>
        <w:trPr>
          <w:trHeight w:val="23"/>
        </w:trPr>
        <w:tc>
          <w:tcPr>
            <w:tcW w:w="4000" w:type="dxa"/>
            <w:vAlign w:val="bottom"/>
            <w:tcBorders>
              <w:bottom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1"/>
        </w:trPr>
        <w:tc>
          <w:tcPr>
            <w:tcW w:w="4000" w:type="dxa"/>
            <w:vAlign w:val="bottom"/>
          </w:tcPr>
          <w:p>
            <w:pPr>
              <w:ind w:left="20"/>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0"/>
                <w:szCs w:val="20"/>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w w:val="98"/>
              </w:rPr>
              <w:t>Rodderick F. Booth</w:t>
            </w:r>
          </w:p>
        </w:tc>
      </w:tr>
      <w:tr>
        <w:trPr>
          <w:trHeight w:val="270"/>
        </w:trPr>
        <w:tc>
          <w:tcPr>
            <w:tcW w:w="40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340" w:type="dxa"/>
            <w:vAlign w:val="bottom"/>
          </w:tcPr>
          <w:p>
            <w:pPr>
              <w:jc w:val="center"/>
              <w:spacing w:after="0"/>
              <w:rPr>
                <w:sz w:val="20"/>
                <w:szCs w:val="20"/>
                <w:color w:val="auto"/>
              </w:rPr>
            </w:pPr>
            <w:r>
              <w:rPr>
                <w:rFonts w:ascii="Arial" w:cs="Arial" w:eastAsia="Arial" w:hAnsi="Arial"/>
                <w:sz w:val="18"/>
                <w:szCs w:val="18"/>
                <w:color w:val="auto"/>
              </w:rPr>
              <w:t>Chief Financial Officer</w:t>
            </w:r>
          </w:p>
        </w:tc>
      </w:tr>
      <w:tr>
        <w:trPr>
          <w:trHeight w:val="270"/>
        </w:trPr>
        <w:tc>
          <w:tcPr>
            <w:tcW w:w="400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340" w:type="dxa"/>
            <w:vAlign w:val="bottom"/>
          </w:tcPr>
          <w:p>
            <w:pPr>
              <w:jc w:val="center"/>
              <w:spacing w:after="0"/>
              <w:rPr>
                <w:sz w:val="20"/>
                <w:szCs w:val="20"/>
                <w:color w:val="auto"/>
              </w:rPr>
            </w:pPr>
            <w:r>
              <w:rPr>
                <w:rFonts w:ascii="Arial" w:cs="Arial" w:eastAsia="Arial" w:hAnsi="Arial"/>
                <w:sz w:val="18"/>
                <w:szCs w:val="18"/>
                <w:i w:val="1"/>
                <w:iCs w:val="1"/>
                <w:color w:val="auto"/>
                <w:w w:val="99"/>
              </w:rPr>
              <w:t>(Principal Financial Officer)</w:t>
            </w:r>
          </w:p>
        </w:tc>
      </w:tr>
      <w:tr>
        <w:trPr>
          <w:trHeight w:val="931"/>
        </w:trPr>
        <w:tc>
          <w:tcPr>
            <w:tcW w:w="4000" w:type="dxa"/>
            <w:vAlign w:val="bottom"/>
          </w:tcPr>
          <w:p>
            <w:pPr>
              <w:spacing w:after="0"/>
              <w:rPr>
                <w:sz w:val="24"/>
                <w:szCs w:val="24"/>
                <w:color w:val="auto"/>
              </w:rPr>
            </w:pPr>
          </w:p>
        </w:tc>
        <w:tc>
          <w:tcPr>
            <w:tcW w:w="2900" w:type="dxa"/>
            <w:vAlign w:val="bottom"/>
          </w:tcPr>
          <w:p>
            <w:pPr>
              <w:jc w:val="right"/>
              <w:ind w:right="1090"/>
              <w:spacing w:after="0"/>
              <w:rPr>
                <w:sz w:val="20"/>
                <w:szCs w:val="20"/>
                <w:color w:val="auto"/>
              </w:rPr>
            </w:pPr>
            <w:r>
              <w:rPr>
                <w:rFonts w:ascii="Arial" w:cs="Arial" w:eastAsia="Arial" w:hAnsi="Arial"/>
                <w:sz w:val="18"/>
                <w:szCs w:val="18"/>
                <w:color w:val="auto"/>
              </w:rPr>
              <w:t>35</w:t>
            </w:r>
          </w:p>
        </w:tc>
        <w:tc>
          <w:tcPr>
            <w:tcW w:w="4340" w:type="dxa"/>
            <w:vAlign w:val="bottom"/>
          </w:tcPr>
          <w:p>
            <w:pPr>
              <w:spacing w:after="0"/>
              <w:rPr>
                <w:sz w:val="24"/>
                <w:szCs w:val="24"/>
                <w:color w:val="auto"/>
              </w:rPr>
            </w:pPr>
          </w:p>
        </w:tc>
      </w:tr>
    </w:tbl>
    <w:p>
      <w:pPr>
        <w:sectPr>
          <w:pgSz w:w="11900" w:h="16838" w:orient="portrait"/>
          <w:cols w:equalWidth="0" w:num="1">
            <w:col w:w="11240"/>
          </w:cols>
          <w:pgMar w:left="320" w:top="122" w:right="339" w:bottom="1440" w:gutter="0" w:footer="0" w:header="0"/>
        </w:sectPr>
      </w:pPr>
    </w:p>
    <w:bookmarkStart w:id="43" w:name="page44"/>
    <w:bookmarkEnd w:id="43"/>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Mark D. Davis, certify that:</w:t>
      </w:r>
    </w:p>
    <w:p>
      <w:pPr>
        <w:spacing w:after="0" w:line="225" w:lineRule="exact"/>
        <w:rPr>
          <w:sz w:val="20"/>
          <w:szCs w:val="20"/>
          <w:color w:val="auto"/>
        </w:rPr>
      </w:pPr>
    </w:p>
    <w:p>
      <w:pPr>
        <w:ind w:left="640" w:hanging="32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Black Rock Coffee Bar, Inc.;</w:t>
      </w:r>
    </w:p>
    <w:p>
      <w:pPr>
        <w:spacing w:after="0" w:line="252" w:lineRule="exact"/>
        <w:rPr>
          <w:rFonts w:ascii="Times New Roman" w:cs="Times New Roman" w:eastAsia="Times New Roman" w:hAnsi="Times New Roman"/>
          <w:sz w:val="18"/>
          <w:szCs w:val="18"/>
          <w:color w:val="auto"/>
        </w:rPr>
      </w:pPr>
    </w:p>
    <w:p>
      <w:pPr>
        <w:jc w:val="both"/>
        <w:ind w:left="640" w:hanging="328"/>
        <w:spacing w:after="0" w:line="266"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40" w:right="20" w:hanging="328"/>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52" w:lineRule="exact"/>
        <w:rPr>
          <w:rFonts w:ascii="Times New Roman" w:cs="Times New Roman" w:eastAsia="Times New Roman" w:hAnsi="Times New Roman"/>
          <w:sz w:val="18"/>
          <w:szCs w:val="18"/>
          <w:color w:val="auto"/>
        </w:rPr>
      </w:pPr>
    </w:p>
    <w:p>
      <w:pPr>
        <w:ind w:left="960" w:hanging="324"/>
        <w:spacing w:after="0" w:line="282" w:lineRule="auto"/>
        <w:tabs>
          <w:tab w:leader="none" w:pos="9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60" w:right="20" w:hanging="324"/>
        <w:spacing w:after="0" w:line="282" w:lineRule="auto"/>
        <w:tabs>
          <w:tab w:leader="none" w:pos="9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60" w:hanging="324"/>
        <w:spacing w:after="0" w:line="282" w:lineRule="auto"/>
        <w:tabs>
          <w:tab w:leader="none" w:pos="95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tabs>
          <w:tab w:leader="none" w:pos="5460" w:val="left"/>
          <w:tab w:leader="none" w:pos="59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Mark D. Davis</w:t>
      </w:r>
    </w:p>
    <w:p>
      <w:pPr>
        <w:spacing w:after="0" w:line="200" w:lineRule="exact"/>
        <w:rPr>
          <w:sz w:val="20"/>
          <w:szCs w:val="20"/>
          <w:color w:val="auto"/>
        </w:rPr>
      </w:pPr>
    </w:p>
    <w:p>
      <w:pPr>
        <w:spacing w:after="0" w:line="25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Mark D. Davis</w:t>
      </w:r>
    </w:p>
    <w:p>
      <w:pPr>
        <w:spacing w:after="0" w:line="23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3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20"/>
          </w:cols>
          <w:pgMar w:left="340" w:top="1440" w:right="339" w:bottom="1440" w:gutter="0" w:footer="0" w:header="0"/>
        </w:sectPr>
      </w:pPr>
    </w:p>
    <w:bookmarkStart w:id="44" w:name="page45"/>
    <w:bookmarkEnd w:id="44"/>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 Rodderick F. Booth, certify that:</w:t>
      </w:r>
    </w:p>
    <w:p>
      <w:pPr>
        <w:spacing w:after="0" w:line="225" w:lineRule="exact"/>
        <w:rPr>
          <w:sz w:val="20"/>
          <w:szCs w:val="20"/>
          <w:color w:val="auto"/>
        </w:rPr>
      </w:pPr>
    </w:p>
    <w:p>
      <w:pPr>
        <w:ind w:left="640" w:hanging="32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Black Rock Coffee Bar, Inc.;</w:t>
      </w:r>
    </w:p>
    <w:p>
      <w:pPr>
        <w:spacing w:after="0" w:line="252" w:lineRule="exact"/>
        <w:rPr>
          <w:rFonts w:ascii="Times New Roman" w:cs="Times New Roman" w:eastAsia="Times New Roman" w:hAnsi="Times New Roman"/>
          <w:sz w:val="18"/>
          <w:szCs w:val="18"/>
          <w:color w:val="auto"/>
        </w:rPr>
      </w:pPr>
    </w:p>
    <w:p>
      <w:pPr>
        <w:jc w:val="both"/>
        <w:ind w:left="640" w:hanging="328"/>
        <w:spacing w:after="0" w:line="266"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40" w:right="20" w:hanging="328"/>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8"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960" w:hanging="324"/>
        <w:spacing w:after="0"/>
        <w:tabs>
          <w:tab w:leader="none" w:pos="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252" w:lineRule="exact"/>
        <w:rPr>
          <w:rFonts w:ascii="Times New Roman" w:cs="Times New Roman" w:eastAsia="Times New Roman" w:hAnsi="Times New Roman"/>
          <w:sz w:val="18"/>
          <w:szCs w:val="18"/>
          <w:color w:val="auto"/>
        </w:rPr>
      </w:pPr>
    </w:p>
    <w:p>
      <w:pPr>
        <w:ind w:left="960" w:hanging="324"/>
        <w:spacing w:after="0" w:line="282" w:lineRule="auto"/>
        <w:tabs>
          <w:tab w:leader="none" w:pos="9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960" w:hanging="324"/>
        <w:spacing w:after="0" w:line="266" w:lineRule="auto"/>
        <w:tabs>
          <w:tab w:leader="none" w:pos="9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40" w:hanging="328"/>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960" w:right="20" w:hanging="324"/>
        <w:spacing w:after="0" w:line="282" w:lineRule="auto"/>
        <w:tabs>
          <w:tab w:leader="none" w:pos="9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960" w:hanging="324"/>
        <w:spacing w:after="0" w:line="282" w:lineRule="auto"/>
        <w:tabs>
          <w:tab w:leader="none" w:pos="95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spacing w:after="0"/>
        <w:tabs>
          <w:tab w:leader="none" w:pos="5460" w:val="left"/>
          <w:tab w:leader="none" w:pos="59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Rodderick F. Booth</w:t>
      </w:r>
    </w:p>
    <w:p>
      <w:pPr>
        <w:spacing w:after="0" w:line="200" w:lineRule="exact"/>
        <w:rPr>
          <w:sz w:val="20"/>
          <w:szCs w:val="20"/>
          <w:color w:val="auto"/>
        </w:rPr>
      </w:pPr>
    </w:p>
    <w:p>
      <w:pPr>
        <w:spacing w:after="0" w:line="25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Rodderick F. Booth</w:t>
      </w:r>
    </w:p>
    <w:p>
      <w:pPr>
        <w:spacing w:after="0" w:line="23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20"/>
          </w:cols>
          <w:pgMar w:left="340" w:top="1440" w:right="339" w:bottom="1440" w:gutter="0" w:footer="0" w:header="0"/>
        </w:sectPr>
      </w:pPr>
    </w:p>
    <w:bookmarkStart w:id="45" w:name="page46"/>
    <w:bookmarkEnd w:id="45"/>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Black Rock Coffee Bar, Inc. (the “Company”) for the period ended March 31, 2026 as filed with the Securities and Exchange Commission on the date hereof (the “Report”), Mark D. Davis, Chief Executive Officer of the Company, certifies, pursuant to 18 U.S.C. § 1350, as adopted pursuant to § 906 of the Sarbanes-Oxley Act of 2002, that:</w:t>
      </w:r>
    </w:p>
    <w:p>
      <w:pPr>
        <w:spacing w:after="0" w:line="176" w:lineRule="exact"/>
        <w:rPr>
          <w:sz w:val="20"/>
          <w:szCs w:val="20"/>
          <w:color w:val="auto"/>
        </w:rPr>
      </w:pPr>
    </w:p>
    <w:p>
      <w:pPr>
        <w:ind w:left="1320" w:hanging="66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01" w:lineRule="exact"/>
        <w:rPr>
          <w:sz w:val="20"/>
          <w:szCs w:val="20"/>
          <w:color w:val="auto"/>
        </w:rPr>
      </w:pPr>
    </w:p>
    <w:p>
      <w:pPr>
        <w:ind w:left="20"/>
        <w:spacing w:after="0"/>
        <w:tabs>
          <w:tab w:leader="none" w:pos="5600" w:val="left"/>
          <w:tab w:leader="none" w:pos="60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Mark D. Davis</w:t>
      </w:r>
    </w:p>
    <w:p>
      <w:pPr>
        <w:spacing w:after="0" w:line="200" w:lineRule="exact"/>
        <w:rPr>
          <w:sz w:val="20"/>
          <w:szCs w:val="20"/>
          <w:color w:val="auto"/>
        </w:rPr>
      </w:pPr>
    </w:p>
    <w:p>
      <w:pPr>
        <w:spacing w:after="0" w:line="25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Mark D. Davis</w:t>
      </w:r>
    </w:p>
    <w:p>
      <w:pPr>
        <w:spacing w:after="0" w:line="2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ectPr>
          <w:pgSz w:w="11900" w:h="16838" w:orient="portrait"/>
          <w:cols w:equalWidth="0" w:num="1">
            <w:col w:w="11240"/>
          </w:cols>
          <w:pgMar w:left="320" w:top="1440" w:right="339" w:bottom="1440" w:gutter="0" w:footer="0" w:header="0"/>
        </w:sectPr>
      </w:pPr>
    </w:p>
    <w:bookmarkStart w:id="46" w:name="page47"/>
    <w:bookmarkEnd w:id="46"/>
    <w:p>
      <w:pPr>
        <w:spacing w:after="0" w:line="1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188" w:lineRule="exact"/>
        <w:rPr>
          <w:sz w:val="20"/>
          <w:szCs w:val="20"/>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SECTION 906 OF THE SARBANES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OXLEY ACT OF 2002</w:t>
      </w:r>
    </w:p>
    <w:p>
      <w:pPr>
        <w:spacing w:after="0" w:line="279" w:lineRule="exact"/>
        <w:rPr>
          <w:sz w:val="20"/>
          <w:szCs w:val="20"/>
          <w:color w:val="auto"/>
        </w:rPr>
      </w:pPr>
    </w:p>
    <w:p>
      <w:pPr>
        <w:ind w:right="180" w:firstLine="648"/>
        <w:spacing w:after="0" w:line="222" w:lineRule="exact"/>
        <w:rPr>
          <w:sz w:val="20"/>
          <w:szCs w:val="20"/>
          <w:color w:val="auto"/>
        </w:rPr>
      </w:pPr>
      <w:r>
        <w:rPr>
          <w:rFonts w:ascii="Times New Roman" w:cs="Times New Roman" w:eastAsia="Times New Roman" w:hAnsi="Times New Roman"/>
          <w:sz w:val="18"/>
          <w:szCs w:val="18"/>
          <w:color w:val="auto"/>
        </w:rPr>
        <w:t>In connection with the Quarterly Report on Form 10-Q of Black Rock Coffee Bar, Inc. (the “Company”) for the period ended March 31, 2026 as filed with the Securities and Exchange Commission on the date hereof (the “Report”), Rodderick F. Booth, Chief Financial Officer of the Company, certifies, pursuant to 18 U.S.C. § 1350, as adopted pursuant to § 906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that:</w:t>
      </w:r>
    </w:p>
    <w:p>
      <w:pPr>
        <w:spacing w:after="0" w:line="186" w:lineRule="exact"/>
        <w:rPr>
          <w:sz w:val="20"/>
          <w:szCs w:val="20"/>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3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00" w:lineRule="exact"/>
        <w:rPr>
          <w:sz w:val="20"/>
          <w:szCs w:val="20"/>
          <w:color w:val="auto"/>
        </w:rPr>
      </w:pPr>
    </w:p>
    <w:p>
      <w:pPr>
        <w:ind w:left="20"/>
        <w:spacing w:after="0"/>
        <w:tabs>
          <w:tab w:leader="none" w:pos="5600" w:val="left"/>
          <w:tab w:leader="none" w:pos="602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Rodderick F. Booth</w:t>
      </w:r>
    </w:p>
    <w:p>
      <w:pPr>
        <w:spacing w:after="0" w:line="200" w:lineRule="exact"/>
        <w:rPr>
          <w:sz w:val="20"/>
          <w:szCs w:val="20"/>
          <w:color w:val="auto"/>
        </w:rPr>
      </w:pPr>
    </w:p>
    <w:p>
      <w:pPr>
        <w:spacing w:after="0" w:line="25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Rodderick F. Booth</w:t>
      </w:r>
    </w:p>
    <w:p>
      <w:pPr>
        <w:spacing w:after="0" w:line="2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lvl w:ilvl="1">
      <w:lvlJc w:val="left"/>
      <w:lvlText w:val="(%2)"/>
      <w:numFmt w:val="lowerRoman"/>
      <w:start w:val="3"/>
    </w:lvl>
  </w:abstractNum>
  <w:abstractNum w:abstractNumId="6">
    <w:nsid w:val="7FDCC233"/>
    <w:multiLevelType w:val="hybridMultilevel"/>
    <w:lvl w:ilvl="0">
      <w:lvlJc w:val="left"/>
      <w:lvlText w:val="•"/>
      <w:numFmt w:val="bullet"/>
      <w:start w:val="1"/>
    </w:lvl>
    <w:lvl w:ilvl="1">
      <w:lvlJc w:val="left"/>
      <w:lvlText w:val="(%2)"/>
      <w:numFmt w:val="lowerRoman"/>
      <w:start w:val="2"/>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lowerRoman"/>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04"/>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16" Type="http://schemas.openxmlformats.org/officeDocument/2006/relationships/hyperlink" Target="https://www.sec.gov/Archives/edgar/data/2068577/000206857725000038/exhibit31-closing8xk.htm" TargetMode="External"/><Relationship Id="rId117" Type="http://schemas.openxmlformats.org/officeDocument/2006/relationships/hyperlink" Target="https://www.sec.gov/Archives/edgar/data/2068577/000206857725000038/exhibit32-closing8xk.htm" TargetMode="External"/><Relationship Id="rId118" Type="http://schemas.openxmlformats.org/officeDocument/2006/relationships/hyperlink" Target="https://www.sec.gov/Archives/edgar/data/2068577/000162828025041431/exhibit41-sx1a.htm" TargetMode="External"/><Relationship Id="rId119" Type="http://schemas.openxmlformats.org/officeDocument/2006/relationships/hyperlink" Target="https://www.sec.gov/Archives/edgar/data/2068577/000162828026020192/exhibit101irrevocableproxy.htm" TargetMode="External"/><Relationship Id="rId120" Type="http://schemas.openxmlformats.org/officeDocument/2006/relationships/hyperlink" Target="https://www.sec.gov/Archives/edgar/data/2068577/000162828026014380/brcb-106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2026-05-13T05:17:48Z</dcterms:created>
  <dcterms:modified xsi:type="dcterms:W3CDTF">2026-05-13T05:17:48Z</dcterms:modified>
</cp:coreProperties>
</file>