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Black Rock Coffee Bar,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060" w:type="dxa"/>
        <w:tblCellMar>
          <w:top w:w="0" w:type="dxa"/>
          <w:left w:w="0" w:type="dxa"/>
          <w:bottom w:w="0" w:type="dxa"/>
          <w:right w:w="0" w:type="dxa"/>
        </w:tblCellMar>
      </w:tblPr>
      <w:tr>
        <w:trPr>
          <w:trHeight w:val="227"/>
        </w:trPr>
        <w:tc>
          <w:tcPr>
            <w:tcW w:w="180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001-42844</w:t>
            </w:r>
          </w:p>
        </w:tc>
        <w:tc>
          <w:tcPr>
            <w:tcW w:w="1660" w:type="dxa"/>
            <w:vAlign w:val="bottom"/>
          </w:tcPr>
          <w:p>
            <w:pPr>
              <w:jc w:val="center"/>
              <w:ind w:left="142"/>
              <w:spacing w:after="0"/>
              <w:rPr>
                <w:sz w:val="20"/>
                <w:szCs w:val="20"/>
                <w:color w:val="auto"/>
              </w:rPr>
            </w:pPr>
            <w:r>
              <w:rPr>
                <w:rFonts w:ascii="Times New Roman" w:cs="Times New Roman" w:eastAsia="Times New Roman" w:hAnsi="Times New Roman"/>
                <w:sz w:val="18"/>
                <w:szCs w:val="18"/>
                <w:b w:val="1"/>
                <w:bCs w:val="1"/>
                <w:color w:val="auto"/>
              </w:rPr>
              <w:t>33-5053729</w:t>
            </w:r>
          </w:p>
        </w:tc>
      </w:tr>
      <w:tr>
        <w:trPr>
          <w:trHeight w:val="146"/>
        </w:trPr>
        <w:tc>
          <w:tcPr>
            <w:tcW w:w="1800" w:type="dxa"/>
            <w:vAlign w:val="bottom"/>
          </w:tcPr>
          <w:p>
            <w:pPr>
              <w:jc w:val="center"/>
              <w:ind w:right="8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4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503"/>
        </w:trPr>
        <w:tc>
          <w:tcPr>
            <w:tcW w:w="180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9170 E. Bahia Drive, Suite 101</w:t>
            </w:r>
          </w:p>
        </w:tc>
        <w:tc>
          <w:tcPr>
            <w:tcW w:w="1660" w:type="dxa"/>
            <w:vAlign w:val="bottom"/>
          </w:tcPr>
          <w:p>
            <w:pPr>
              <w:spacing w:after="0"/>
              <w:rPr>
                <w:sz w:val="24"/>
                <w:szCs w:val="24"/>
                <w:color w:val="auto"/>
              </w:rPr>
            </w:pPr>
          </w:p>
        </w:tc>
      </w:tr>
      <w:tr>
        <w:trPr>
          <w:trHeight w:val="214"/>
        </w:trPr>
        <w:tc>
          <w:tcPr>
            <w:tcW w:w="1800" w:type="dxa"/>
            <w:vAlign w:val="bottom"/>
          </w:tcPr>
          <w:p>
            <w:pPr>
              <w:spacing w:after="0"/>
              <w:rPr>
                <w:sz w:val="18"/>
                <w:szCs w:val="18"/>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Scottsdale, AZ 85260</w:t>
            </w:r>
          </w:p>
        </w:tc>
        <w:tc>
          <w:tcPr>
            <w:tcW w:w="1660" w:type="dxa"/>
            <w:vAlign w:val="bottom"/>
          </w:tcPr>
          <w:p>
            <w:pPr>
              <w:spacing w:after="0"/>
              <w:rPr>
                <w:sz w:val="18"/>
                <w:szCs w:val="18"/>
                <w:color w:val="auto"/>
              </w:rPr>
            </w:pPr>
          </w:p>
        </w:tc>
      </w:tr>
      <w:tr>
        <w:trPr>
          <w:trHeight w:val="178"/>
        </w:trPr>
        <w:tc>
          <w:tcPr>
            <w:tcW w:w="1800" w:type="dxa"/>
            <w:vAlign w:val="bottom"/>
          </w:tcPr>
          <w:p>
            <w:pPr>
              <w:spacing w:after="0"/>
              <w:rPr>
                <w:sz w:val="15"/>
                <w:szCs w:val="15"/>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5"/>
                <w:szCs w:val="15"/>
                <w:color w:val="auto"/>
              </w:rPr>
            </w:pPr>
          </w:p>
        </w:tc>
      </w:tr>
      <w:tr>
        <w:trPr>
          <w:trHeight w:val="238"/>
        </w:trPr>
        <w:tc>
          <w:tcPr>
            <w:tcW w:w="180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(458) 256-9668</w:t>
            </w:r>
          </w:p>
        </w:tc>
        <w:tc>
          <w:tcPr>
            <w:tcW w:w="16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 w:lineRule="exact"/>
        <w:rPr>
          <w:rFonts w:ascii="Wingdings" w:cs="Wingdings" w:eastAsia="Wingdings" w:hAnsi="Wingdings"/>
          <w:sz w:val="18"/>
          <w:szCs w:val="18"/>
          <w:b w:val="1"/>
          <w:bCs w:val="1"/>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Wingdings" w:cs="Wingdings" w:eastAsia="Wingdings" w:hAnsi="Wingdings"/>
          <w:sz w:val="18"/>
          <w:szCs w:val="18"/>
          <w:b w:val="1"/>
          <w:bCs w:val="1"/>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Wingdings" w:cs="Wingdings" w:eastAsia="Wingdings" w:hAnsi="Wingdings"/>
          <w:sz w:val="18"/>
          <w:szCs w:val="18"/>
          <w:b w:val="1"/>
          <w:bCs w:val="1"/>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6"/>
        </w:trPr>
        <w:tc>
          <w:tcPr>
            <w:tcW w:w="3760" w:type="dxa"/>
            <w:vAlign w:val="bottom"/>
            <w:gridSpan w:val="2"/>
            <w:vMerge w:val="continue"/>
          </w:tcPr>
          <w:p>
            <w:pPr>
              <w:spacing w:after="0"/>
              <w:rPr>
                <w:sz w:val="17"/>
                <w:szCs w:val="17"/>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75"/>
        </w:trPr>
        <w:tc>
          <w:tcPr>
            <w:tcW w:w="36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Class A common stock, $0.00001 par value per</w:t>
            </w:r>
          </w:p>
        </w:tc>
        <w:tc>
          <w:tcPr>
            <w:tcW w:w="100" w:type="dxa"/>
            <w:vAlign w:val="bottom"/>
          </w:tcPr>
          <w:p>
            <w:pPr>
              <w:spacing w:after="0"/>
              <w:rPr>
                <w:sz w:val="15"/>
                <w:szCs w:val="15"/>
                <w:color w:val="auto"/>
              </w:rPr>
            </w:pPr>
          </w:p>
        </w:tc>
        <w:tc>
          <w:tcPr>
            <w:tcW w:w="36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BRCB</w:t>
            </w:r>
          </w:p>
        </w:tc>
        <w:tc>
          <w:tcPr>
            <w:tcW w:w="80" w:type="dxa"/>
            <w:vAlign w:val="bottom"/>
          </w:tcPr>
          <w:p>
            <w:pPr>
              <w:spacing w:after="0"/>
              <w:rPr>
                <w:sz w:val="15"/>
                <w:szCs w:val="15"/>
                <w:color w:val="auto"/>
              </w:rPr>
            </w:pPr>
          </w:p>
        </w:tc>
        <w:tc>
          <w:tcPr>
            <w:tcW w:w="37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r>
        <w:trPr>
          <w:trHeight w:val="238"/>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684530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4" w:right="359" w:bottom="1440" w:gutter="0" w:footer="0" w:header="0"/>
        </w:sectPr>
      </w:pPr>
    </w:p>
    <w:bookmarkStart w:id="1" w:name="page2"/>
    <w:bookmarkEnd w:id="1"/>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27, 2026, Black Rock Coffee Bar, Inc. (the “Company”) held its Annual Meeting of Shareholders (the “Annual Meeting”). A total of (i) 18,017,471 shares of the Company’s Class A common stock, (ii) 10,377,136 shares of the Company’s Class B common stock, and (iii) 21,661,200 shares of the Company’s Class C common stock (collectively, the “Common Stock”) were outstanding and entitled to vote at the Annual Meeting as of the April 1, 2026 record date. At the Annual Meeting, the holders of shares of Common Stock, representing 183,122,474 votes in aggregate, were represented in person or by proxy. The following are the voting results for the proposals considered and voted upon at the Annual Meeting, each of which were described in the Company’s Definitive Proxy Statement filed with the Securities and Exchange Commission on April 16, 2026.</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Item 1: The election of Jeff Hernandez and Kristina Cashman as Class I directors to serve until the Company’s 2029 Annual Meeting of Shareholders, and until their respective successors shall have been duly elected and qualified.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8"/>
        </w:trPr>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Jeff Hernandez</w:t>
            </w:r>
          </w:p>
        </w:tc>
        <w:tc>
          <w:tcPr>
            <w:tcW w:w="100" w:type="dxa"/>
            <w:vAlign w:val="bottom"/>
          </w:tcPr>
          <w:p>
            <w:pPr>
              <w:spacing w:after="0"/>
              <w:rPr>
                <w:sz w:val="18"/>
                <w:szCs w:val="18"/>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174,313,447</w:t>
            </w:r>
          </w:p>
        </w:tc>
        <w:tc>
          <w:tcPr>
            <w:tcW w:w="100" w:type="dxa"/>
            <w:vAlign w:val="bottom"/>
          </w:tcPr>
          <w:p>
            <w:pPr>
              <w:spacing w:after="0"/>
              <w:rPr>
                <w:sz w:val="18"/>
                <w:szCs w:val="18"/>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7,442,148</w:t>
            </w:r>
          </w:p>
        </w:tc>
        <w:tc>
          <w:tcPr>
            <w:tcW w:w="100" w:type="dxa"/>
            <w:vAlign w:val="bottom"/>
          </w:tcPr>
          <w:p>
            <w:pPr>
              <w:spacing w:after="0"/>
              <w:rPr>
                <w:sz w:val="18"/>
                <w:szCs w:val="18"/>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1,366,879</w:t>
            </w:r>
          </w:p>
        </w:tc>
      </w:tr>
      <w:tr>
        <w:trPr>
          <w:trHeight w:val="234"/>
        </w:trPr>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Kristina Cashman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179,797,872</w:t>
            </w:r>
          </w:p>
        </w:tc>
        <w:tc>
          <w:tcPr>
            <w:tcW w:w="10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1,957,723</w:t>
            </w:r>
          </w:p>
        </w:tc>
        <w:tc>
          <w:tcPr>
            <w:tcW w:w="10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1,366,879</w:t>
            </w: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Item 2: The ratification of the appointment of Deloitte &amp; Touche LLP as the Company’s independent registered public accounting firm for the fiscal year ending December 31, 2026.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2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183,116,567</w:t>
            </w:r>
          </w:p>
        </w:tc>
        <w:tc>
          <w:tcPr>
            <w:tcW w:w="100" w:type="dxa"/>
            <w:vAlign w:val="bottom"/>
          </w:tcPr>
          <w:p>
            <w:pPr>
              <w:spacing w:after="0"/>
              <w:rPr>
                <w:sz w:val="19"/>
                <w:szCs w:val="19"/>
                <w:color w:val="auto"/>
              </w:rPr>
            </w:pPr>
          </w:p>
        </w:tc>
        <w:tc>
          <w:tcPr>
            <w:tcW w:w="222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Pr>
          <w:p>
            <w:pPr>
              <w:spacing w:after="0"/>
              <w:rPr>
                <w:sz w:val="19"/>
                <w:szCs w:val="19"/>
                <w:color w:val="auto"/>
              </w:rPr>
            </w:pPr>
          </w:p>
        </w:tc>
        <w:tc>
          <w:tcPr>
            <w:tcW w:w="222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tcPr>
          <w:p>
            <w:pPr>
              <w:spacing w:after="0"/>
              <w:rPr>
                <w:sz w:val="19"/>
                <w:szCs w:val="19"/>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foregoing votes, Jeff Hernandez and Kristina Cashman were each elected as a Class I director to serve until the Company’s 2029 Annual Meeting of Shareholders, and until their respective successors shall have been duly elected and qualified and the appointment of Deloitte &amp; Touche LLP as the Company’s independent registered public accounting firm for the fiscal year ending December 31, 2026 was ratified.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693420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6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BLACK ROCK COFFEE BAR, INC.</w:t>
            </w:r>
          </w:p>
        </w:tc>
      </w:tr>
      <w:tr>
        <w:trPr>
          <w:trHeight w:val="44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766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  /s/ Samuel J. Seiberling</w:t>
            </w:r>
          </w:p>
        </w:tc>
      </w:tr>
      <w:tr>
        <w:trPr>
          <w:trHeight w:val="218"/>
        </w:trPr>
        <w:tc>
          <w:tcPr>
            <w:tcW w:w="35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Samuel J. Seiberling</w:t>
            </w:r>
          </w:p>
        </w:tc>
      </w:tr>
      <w:tr>
        <w:trPr>
          <w:trHeight w:val="234"/>
        </w:trPr>
        <w:tc>
          <w:tcPr>
            <w:tcW w:w="3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2026-06-01T16:39:04Z</dcterms:created>
  <dcterms:modified xsi:type="dcterms:W3CDTF">2026-06-01T16:39:04Z</dcterms:modified>
</cp:coreProperties>
</file>