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0002083544</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0001968582-26-000818</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17"/>
        <w:gridCol w:w="3688"/>
      </w:tblGrid>
      <w:tr>
        <w:trPr/>
        <w:tc>
          <w:tcPr>
            <w:tcW w:w="6517" w:type="dxa"/>
            <w:tcBorders/>
            <w:vAlign w:val="center"/>
          </w:tcPr>
          <w:p>
            <w:pPr>
              <w:pStyle w:val="TableContents"/>
              <w:bidi w:val="0"/>
              <w:spacing w:before="0" w:after="283"/>
              <w:jc w:val="left"/>
              <w:rPr/>
            </w:pPr>
            <w:r>
              <w:rPr/>
              <w:t>Name of Issuer</w:t>
            </w:r>
          </w:p>
        </w:tc>
        <w:tc>
          <w:tcPr>
            <w:tcW w:w="3688" w:type="dxa"/>
            <w:tcBorders/>
            <w:vAlign w:val="center"/>
          </w:tcPr>
          <w:p>
            <w:pPr>
              <w:pStyle w:val="TableContents"/>
              <w:bidi w:val="0"/>
              <w:spacing w:before="0" w:after="0"/>
              <w:jc w:val="left"/>
              <w:rPr/>
            </w:pPr>
            <w:r>
              <w:rPr/>
              <w:t>Black Rock Coffee Bar, Inc.</w:t>
            </w:r>
          </w:p>
        </w:tc>
      </w:tr>
      <w:tr>
        <w:trPr/>
        <w:tc>
          <w:tcPr>
            <w:tcW w:w="6517" w:type="dxa"/>
            <w:tcBorders/>
            <w:vAlign w:val="center"/>
          </w:tcPr>
          <w:p>
            <w:pPr>
              <w:pStyle w:val="TableContents"/>
              <w:bidi w:val="0"/>
              <w:spacing w:before="0" w:after="283"/>
              <w:jc w:val="left"/>
              <w:rPr/>
            </w:pPr>
            <w:r>
              <w:rPr/>
              <w:t>SEC File Number</w:t>
            </w:r>
          </w:p>
        </w:tc>
        <w:tc>
          <w:tcPr>
            <w:tcW w:w="3688" w:type="dxa"/>
            <w:tcBorders/>
            <w:vAlign w:val="center"/>
          </w:tcPr>
          <w:p>
            <w:pPr>
              <w:pStyle w:val="TableContents"/>
              <w:bidi w:val="0"/>
              <w:spacing w:before="0" w:after="0"/>
              <w:jc w:val="left"/>
              <w:rPr/>
            </w:pPr>
            <w:r>
              <w:rPr/>
              <w:t>001-42844</w:t>
            </w:r>
          </w:p>
        </w:tc>
      </w:tr>
      <w:tr>
        <w:trPr/>
        <w:tc>
          <w:tcPr>
            <w:tcW w:w="6517" w:type="dxa"/>
            <w:tcBorders/>
            <w:vAlign w:val="center"/>
          </w:tcPr>
          <w:p>
            <w:pPr>
              <w:pStyle w:val="TableContents"/>
              <w:bidi w:val="0"/>
              <w:spacing w:before="0" w:after="283"/>
              <w:jc w:val="left"/>
              <w:rPr/>
            </w:pPr>
            <w:r>
              <w:rPr/>
              <w:t>Address of Issuer</w:t>
            </w:r>
          </w:p>
        </w:tc>
        <w:tc>
          <w:tcPr>
            <w:tcW w:w="3688" w:type="dxa"/>
            <w:tcBorders/>
            <w:vAlign w:val="center"/>
          </w:tcPr>
          <w:p>
            <w:pPr>
              <w:pStyle w:val="TableContents"/>
              <w:bidi w:val="0"/>
              <w:spacing w:before="0" w:after="0"/>
              <w:jc w:val="left"/>
              <w:rPr/>
            </w:pPr>
            <w:r>
              <w:rPr/>
              <w:t>9170 E. Bahia Drive, Suite 101</w:t>
              <w:br/>
              <w:t>Scottsdale</w:t>
              <w:br/>
              <w:t xml:space="preserve">ARIZONA </w:t>
              <w:br/>
              <w:t>85260</w:t>
            </w:r>
          </w:p>
        </w:tc>
      </w:tr>
      <w:tr>
        <w:trPr/>
        <w:tc>
          <w:tcPr>
            <w:tcW w:w="6517" w:type="dxa"/>
            <w:tcBorders/>
            <w:vAlign w:val="center"/>
          </w:tcPr>
          <w:p>
            <w:pPr>
              <w:pStyle w:val="TableContents"/>
              <w:bidi w:val="0"/>
              <w:spacing w:before="0" w:after="283"/>
              <w:jc w:val="left"/>
              <w:rPr/>
            </w:pPr>
            <w:r>
              <w:rPr/>
              <w:t>Phone</w:t>
            </w:r>
          </w:p>
        </w:tc>
        <w:tc>
          <w:tcPr>
            <w:tcW w:w="3688" w:type="dxa"/>
            <w:tcBorders/>
            <w:vAlign w:val="center"/>
          </w:tcPr>
          <w:p>
            <w:pPr>
              <w:pStyle w:val="TableContents"/>
              <w:bidi w:val="0"/>
              <w:spacing w:before="0" w:after="0"/>
              <w:jc w:val="left"/>
              <w:rPr/>
            </w:pPr>
            <w:r>
              <w:rPr/>
              <w:t>458-256-9668</w:t>
            </w:r>
          </w:p>
        </w:tc>
      </w:tr>
      <w:tr>
        <w:trPr/>
        <w:tc>
          <w:tcPr>
            <w:tcW w:w="6517" w:type="dxa"/>
            <w:tcBorders/>
            <w:vAlign w:val="center"/>
          </w:tcPr>
          <w:p>
            <w:pPr>
              <w:pStyle w:val="TableContents"/>
              <w:bidi w:val="0"/>
              <w:spacing w:before="0" w:after="283"/>
              <w:jc w:val="left"/>
              <w:rPr/>
            </w:pPr>
            <w:r>
              <w:rPr/>
              <w:t>Name of Person for Whose Account the Securities are To Be Sold</w:t>
            </w:r>
          </w:p>
        </w:tc>
        <w:tc>
          <w:tcPr>
            <w:tcW w:w="3688" w:type="dxa"/>
            <w:tcBorders/>
            <w:vAlign w:val="center"/>
          </w:tcPr>
          <w:p>
            <w:pPr>
              <w:pStyle w:val="TableContents"/>
              <w:bidi w:val="0"/>
              <w:spacing w:before="0" w:after="0"/>
              <w:jc w:val="left"/>
              <w:rPr/>
            </w:pPr>
            <w:r>
              <w:rPr/>
              <w:t>Jeffrey Robert Hernandez</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17" w:type="dxa"/>
            <w:tcBorders/>
            <w:vAlign w:val="center"/>
          </w:tcPr>
          <w:p>
            <w:pPr>
              <w:pStyle w:val="TableContents"/>
              <w:bidi w:val="0"/>
              <w:spacing w:before="0" w:after="283"/>
              <w:jc w:val="left"/>
              <w:rPr/>
            </w:pPr>
            <w:r>
              <w:rPr/>
              <w:t>Relationship to Issuer</w:t>
            </w:r>
          </w:p>
        </w:tc>
        <w:tc>
          <w:tcPr>
            <w:tcW w:w="3688" w:type="dxa"/>
            <w:tcBorders/>
            <w:vAlign w:val="center"/>
          </w:tcPr>
          <w:p>
            <w:pPr>
              <w:pStyle w:val="TableContents"/>
              <w:bidi w:val="0"/>
              <w:spacing w:before="0" w:after="0"/>
              <w:jc w:val="left"/>
              <w:rPr/>
            </w:pPr>
            <w:r>
              <w:rPr/>
              <w:t>Director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 Stock</w:t>
            </w:r>
          </w:p>
        </w:tc>
        <w:tc>
          <w:tcPr>
            <w:tcW w:w="1501" w:type="dxa"/>
            <w:tcBorders/>
            <w:vAlign w:val="center"/>
          </w:tcPr>
          <w:p>
            <w:pPr>
              <w:pStyle w:val="TableContents"/>
              <w:bidi w:val="0"/>
              <w:spacing w:before="0" w:after="0"/>
              <w:jc w:val="left"/>
              <w:rPr/>
            </w:pPr>
            <w:r>
              <w:rPr/>
              <w:t>J.P. Morgan Securities LLC</w:t>
              <w:br/>
              <w:t>270 Park Avenue, 10th Floor</w:t>
              <w:br/>
              <w:t>New York   NY   10017</w:t>
            </w:r>
          </w:p>
        </w:tc>
        <w:tc>
          <w:tcPr>
            <w:tcW w:w="1176" w:type="dxa"/>
            <w:tcBorders/>
            <w:vAlign w:val="center"/>
          </w:tcPr>
          <w:p>
            <w:pPr>
              <w:pStyle w:val="TableContents"/>
              <w:bidi w:val="0"/>
              <w:spacing w:before="0" w:after="283"/>
              <w:jc w:val="left"/>
              <w:rPr/>
            </w:pPr>
            <w:r>
              <w:rPr/>
              <w:t>116000</w:t>
            </w:r>
          </w:p>
        </w:tc>
        <w:tc>
          <w:tcPr>
            <w:tcW w:w="1385" w:type="dxa"/>
            <w:tcBorders/>
            <w:vAlign w:val="center"/>
          </w:tcPr>
          <w:p>
            <w:pPr>
              <w:pStyle w:val="TableContents"/>
              <w:bidi w:val="0"/>
              <w:spacing w:before="0" w:after="283"/>
              <w:jc w:val="left"/>
              <w:rPr/>
            </w:pPr>
            <w:r>
              <w:rPr/>
              <w:t>846800</w:t>
            </w:r>
          </w:p>
        </w:tc>
        <w:tc>
          <w:tcPr>
            <w:tcW w:w="1559" w:type="dxa"/>
            <w:tcBorders/>
            <w:vAlign w:val="center"/>
          </w:tcPr>
          <w:p>
            <w:pPr>
              <w:pStyle w:val="TableContents"/>
              <w:bidi w:val="0"/>
              <w:spacing w:before="0" w:after="283"/>
              <w:jc w:val="left"/>
              <w:rPr/>
            </w:pPr>
            <w:r>
              <w:rPr/>
              <w:t>21572893</w:t>
            </w:r>
          </w:p>
        </w:tc>
        <w:tc>
          <w:tcPr>
            <w:tcW w:w="1571" w:type="dxa"/>
            <w:tcBorders/>
            <w:vAlign w:val="center"/>
          </w:tcPr>
          <w:p>
            <w:pPr>
              <w:pStyle w:val="TableContents"/>
              <w:bidi w:val="0"/>
              <w:spacing w:before="0" w:after="283"/>
              <w:jc w:val="left"/>
              <w:rPr/>
            </w:pPr>
            <w:r>
              <w:rPr/>
              <w:t>08/11/2026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06/03/2026</w:t>
            </w:r>
          </w:p>
        </w:tc>
        <w:tc>
          <w:tcPr>
            <w:tcW w:w="1505" w:type="dxa"/>
            <w:tcBorders/>
            <w:vAlign w:val="center"/>
          </w:tcPr>
          <w:p>
            <w:pPr>
              <w:pStyle w:val="TableContents"/>
              <w:bidi w:val="0"/>
              <w:spacing w:before="0" w:after="283"/>
              <w:jc w:val="left"/>
              <w:rPr/>
            </w:pPr>
            <w:r>
              <w:rPr/>
              <w:t>Conversion of Common Units to Class A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116000</w:t>
            </w:r>
          </w:p>
        </w:tc>
        <w:tc>
          <w:tcPr>
            <w:tcW w:w="1078" w:type="dxa"/>
            <w:tcBorders/>
            <w:vAlign w:val="center"/>
          </w:tcPr>
          <w:p>
            <w:pPr>
              <w:pStyle w:val="TableContents"/>
              <w:bidi w:val="0"/>
              <w:spacing w:before="0" w:after="283"/>
              <w:jc w:val="left"/>
              <w:rPr/>
            </w:pPr>
            <w:r>
              <w:rPr/>
              <w:t>06/03/2026</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019"/>
        <w:gridCol w:w="8186"/>
      </w:tblGrid>
      <w:tr>
        <w:trPr/>
        <w:tc>
          <w:tcPr>
            <w:tcW w:w="2019" w:type="dxa"/>
            <w:tcBorders/>
            <w:vAlign w:val="center"/>
          </w:tcPr>
          <w:p>
            <w:pPr>
              <w:pStyle w:val="TableContents"/>
              <w:bidi w:val="0"/>
              <w:spacing w:before="0" w:after="283"/>
              <w:jc w:val="left"/>
              <w:rPr/>
            </w:pPr>
            <w:r>
              <w:rPr/>
              <w:t>Remarks</w:t>
            </w:r>
          </w:p>
        </w:tc>
        <w:tc>
          <w:tcPr>
            <w:tcW w:w="8186" w:type="dxa"/>
            <w:tcBorders/>
            <w:vAlign w:val="center"/>
          </w:tcPr>
          <w:p>
            <w:pPr>
              <w:pStyle w:val="TableContents"/>
              <w:bidi w:val="0"/>
              <w:spacing w:before="0" w:after="0"/>
              <w:jc w:val="left"/>
              <w:rPr/>
            </w:pPr>
            <w:r>
              <w:rPr/>
              <w:t>This is an amendment to the Form 144 filed on 8/11/2026 to correct the name of the trustee of the Jeffrey R. Hernandez 2021 Irrevocable Trust from Jeffrey Robert Hernandez to IconTrust, LLC. Demi Winters serves as the investment advisor for the Jeffrey R. Hernandez 2021 Irrevocable Trust and may be deemed to hold voting and investment power with respect to the shares held by the Jeffrey R. Hernandez 2021 Irrevocable Trust. Accordingly, the filer CIK for Jeffrey Robert Hernandez was also included in error.</w:t>
            </w:r>
          </w:p>
        </w:tc>
      </w:tr>
      <w:tr>
        <w:trPr/>
        <w:tc>
          <w:tcPr>
            <w:tcW w:w="2019" w:type="dxa"/>
            <w:tcBorders/>
            <w:vAlign w:val="center"/>
          </w:tcPr>
          <w:p>
            <w:pPr>
              <w:pStyle w:val="TableContents"/>
              <w:bidi w:val="0"/>
              <w:spacing w:before="0" w:after="283"/>
              <w:jc w:val="left"/>
              <w:rPr/>
            </w:pPr>
            <w:r>
              <w:rPr/>
              <w:t>Date of Notice</w:t>
            </w:r>
          </w:p>
        </w:tc>
        <w:tc>
          <w:tcPr>
            <w:tcW w:w="8186" w:type="dxa"/>
            <w:tcBorders/>
            <w:vAlign w:val="center"/>
          </w:tcPr>
          <w:p>
            <w:pPr>
              <w:pStyle w:val="TableContents"/>
              <w:bidi w:val="0"/>
              <w:spacing w:before="0" w:after="0"/>
              <w:jc w:val="left"/>
              <w:rPr/>
            </w:pPr>
            <w:r>
              <w:rPr/>
              <w:t>08/27/2026</w:t>
            </w:r>
          </w:p>
        </w:tc>
      </w:tr>
      <w:tr>
        <w:trPr/>
        <w:tc>
          <w:tcPr>
            <w:tcW w:w="2019" w:type="dxa"/>
            <w:tcBorders/>
            <w:vAlign w:val="center"/>
          </w:tcPr>
          <w:p>
            <w:pPr>
              <w:pStyle w:val="TableContents"/>
              <w:bidi w:val="0"/>
              <w:spacing w:before="0" w:after="283"/>
              <w:jc w:val="left"/>
              <w:rPr/>
            </w:pPr>
            <w:r>
              <w:rPr/>
              <w:t>Date of Plan Adoption or Giving of Instruction, If Relying on Rule 10b5-1</w:t>
            </w:r>
          </w:p>
        </w:tc>
        <w:tc>
          <w:tcPr>
            <w:tcW w:w="8186"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19" w:type="dxa"/>
            <w:tcBorders/>
            <w:vAlign w:val="center"/>
          </w:tcPr>
          <w:p>
            <w:pPr>
              <w:pStyle w:val="TableContents"/>
              <w:bidi w:val="0"/>
              <w:spacing w:before="0" w:after="283"/>
              <w:jc w:val="left"/>
              <w:rPr/>
            </w:pPr>
            <w:r>
              <w:rPr/>
              <w:t>Signature</w:t>
            </w:r>
          </w:p>
        </w:tc>
        <w:tc>
          <w:tcPr>
            <w:tcW w:w="8186" w:type="dxa"/>
            <w:tcBorders/>
            <w:vAlign w:val="center"/>
          </w:tcPr>
          <w:p>
            <w:pPr>
              <w:pStyle w:val="TableContents"/>
              <w:bidi w:val="0"/>
              <w:spacing w:before="0" w:after="0"/>
              <w:jc w:val="left"/>
              <w:rPr/>
            </w:pPr>
            <w:r>
              <w:rPr/>
              <w:t>/s/ J.P. Morgan Securities LLC as agent and attorney-in-fact for Jeffrey Robert Hernandez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704</Words>
  <Characters>3562</Characters>
  <CharactersWithSpaces>4207</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