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Vingo Jon Patrick Jr.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000" w:type="dxa"/>
            <w:vAlign w:val="bottom"/>
            <w:tcBorders>
              <w:top w:val="single" w:sz="8" w:color="0000EE"/>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Black Rock Coffee Bar,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BRCB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280"/>
              <w:spacing w:after="0"/>
              <w:rPr>
                <w:sz w:val="20"/>
                <w:szCs w:val="20"/>
                <w:color w:val="auto"/>
              </w:rPr>
            </w:pPr>
            <w:r>
              <w:rPr>
                <w:rFonts w:ascii="Arial" w:cs="Arial" w:eastAsia="Arial" w:hAnsi="Arial"/>
                <w:sz w:val="15"/>
                <w:szCs w:val="15"/>
                <w:color w:val="auto"/>
              </w:rPr>
              <w:t>(First)</w:t>
            </w:r>
          </w:p>
        </w:tc>
        <w:tc>
          <w:tcPr>
            <w:tcW w:w="1240" w:type="dxa"/>
            <w:vAlign w:val="bottom"/>
          </w:tcPr>
          <w:p>
            <w:pPr>
              <w:ind w:left="2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9170 E. BAHIA DRIVE, SUITE 101</w:t>
            </w:r>
          </w:p>
        </w:tc>
      </w:tr>
      <w:tr>
        <w:trPr>
          <w:trHeight w:val="237"/>
        </w:trPr>
        <w:tc>
          <w:tcPr>
            <w:tcW w:w="78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65"/>
        </w:trPr>
        <w:tc>
          <w:tcPr>
            <w:tcW w:w="1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SCOTTSDALE AZ</w:t>
            </w: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20"/>
                <w:szCs w:val="20"/>
                <w:color w:val="0000FF"/>
              </w:rPr>
              <w:t>85260</w:t>
            </w:r>
          </w:p>
        </w:tc>
      </w:tr>
      <w:tr>
        <w:trPr>
          <w:trHeight w:val="177"/>
        </w:trPr>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80" w:type="dxa"/>
            <w:vAlign w:val="bottom"/>
          </w:tcPr>
          <w:p>
            <w:pPr>
              <w:ind w:left="280"/>
              <w:spacing w:after="0"/>
              <w:rPr>
                <w:sz w:val="20"/>
                <w:szCs w:val="20"/>
                <w:color w:val="auto"/>
              </w:rPr>
            </w:pPr>
            <w:r>
              <w:rPr>
                <w:rFonts w:ascii="Arial" w:cs="Arial" w:eastAsia="Arial" w:hAnsi="Arial"/>
                <w:sz w:val="15"/>
                <w:szCs w:val="15"/>
                <w:color w:val="auto"/>
              </w:rPr>
              <w:t>(State)</w:t>
            </w:r>
          </w:p>
        </w:tc>
        <w:tc>
          <w:tcPr>
            <w:tcW w:w="1240" w:type="dxa"/>
            <w:vAlign w:val="bottom"/>
          </w:tcPr>
          <w:p>
            <w:pPr>
              <w:ind w:left="24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83"/>
        <w:spacing w:after="0"/>
        <w:rPr>
          <w:sz w:val="20"/>
          <w:szCs w:val="20"/>
          <w:color w:val="auto"/>
        </w:rPr>
      </w:pPr>
      <w:r>
        <w:rPr>
          <w:rFonts w:ascii="Times New Roman" w:cs="Times New Roman" w:eastAsia="Times New Roman" w:hAnsi="Times New Roman"/>
          <w:sz w:val="20"/>
          <w:szCs w:val="20"/>
          <w:color w:val="0000FF"/>
        </w:rPr>
        <w:t>Chief Development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44.092</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Sam Seiberling,</w:t>
            </w:r>
          </w:p>
        </w:tc>
        <w:tc>
          <w:tcPr>
            <w:tcW w:w="7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87" w:lineRule="exact"/>
        <w:rPr>
          <w:sz w:val="20"/>
          <w:szCs w:val="20"/>
          <w:color w:val="auto"/>
        </w:rPr>
      </w:pPr>
    </w:p>
    <w:p>
      <w:pPr>
        <w:jc w:val="both"/>
        <w:spacing w:after="0" w:line="258" w:lineRule="auto"/>
        <w:rPr>
          <w:sz w:val="20"/>
          <w:szCs w:val="20"/>
          <w:color w:val="auto"/>
        </w:rPr>
      </w:pPr>
      <w:r>
        <w:rPr>
          <w:rFonts w:ascii="Arial" w:cs="Arial" w:eastAsia="Arial" w:hAnsi="Arial"/>
          <w:sz w:val="22"/>
          <w:szCs w:val="22"/>
          <w:color w:val="auto"/>
        </w:rPr>
        <w:t xml:space="preserve">With respect to holdings of and transactions in securities issued by Black Rock Coffee Bar, Inc. ( the “Company”), the undersigned hereby constitutes and appoints the individuals named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83" w:lineRule="exact"/>
        <w:rPr>
          <w:sz w:val="20"/>
          <w:szCs w:val="20"/>
          <w:color w:val="auto"/>
        </w:rPr>
      </w:pPr>
    </w:p>
    <w:p>
      <w:pPr>
        <w:jc w:val="both"/>
        <w:ind w:left="1080" w:right="480" w:hanging="360"/>
        <w:spacing w:after="0" w:line="257" w:lineRule="auto"/>
        <w:tabs>
          <w:tab w:leader="none" w:pos="1083" w:val="left"/>
        </w:tabs>
        <w:numPr>
          <w:ilvl w:val="0"/>
          <w:numId w:val="4"/>
        </w:numPr>
        <w:rPr>
          <w:rFonts w:ascii="Arial" w:cs="Arial" w:eastAsia="Arial" w:hAnsi="Arial"/>
          <w:sz w:val="22"/>
          <w:szCs w:val="22"/>
          <w:color w:val="auto"/>
        </w:rPr>
      </w:pPr>
      <w:r>
        <w:rPr>
          <w:rFonts w:ascii="Arial" w:cs="Arial" w:eastAsia="Arial" w:hAnsi="Arial"/>
          <w:sz w:val="22"/>
          <w:szCs w:val="22"/>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5" w:lineRule="exact"/>
        <w:rPr>
          <w:rFonts w:ascii="Arial" w:cs="Arial" w:eastAsia="Arial" w:hAnsi="Arial"/>
          <w:sz w:val="22"/>
          <w:szCs w:val="22"/>
          <w:color w:val="auto"/>
        </w:rPr>
      </w:pPr>
    </w:p>
    <w:p>
      <w:pPr>
        <w:ind w:left="1080" w:right="480" w:hanging="360"/>
        <w:spacing w:after="0" w:line="278" w:lineRule="auto"/>
        <w:tabs>
          <w:tab w:leader="none" w:pos="1083"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 of the Securities Exchange Act of 1934, as amended, and the rules thereunder;</w:t>
      </w:r>
    </w:p>
    <w:p>
      <w:pPr>
        <w:spacing w:after="0" w:line="179" w:lineRule="exact"/>
        <w:rPr>
          <w:rFonts w:ascii="Arial" w:cs="Arial" w:eastAsia="Arial" w:hAnsi="Arial"/>
          <w:sz w:val="22"/>
          <w:szCs w:val="22"/>
          <w:color w:val="auto"/>
        </w:rPr>
      </w:pPr>
    </w:p>
    <w:p>
      <w:pPr>
        <w:jc w:val="both"/>
        <w:ind w:left="1080" w:right="480" w:hanging="360"/>
        <w:spacing w:after="0" w:line="263" w:lineRule="auto"/>
        <w:tabs>
          <w:tab w:leader="none" w:pos="1083"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22"/>
          <w:szCs w:val="22"/>
          <w:color w:val="auto"/>
        </w:rPr>
      </w:pPr>
    </w:p>
    <w:p>
      <w:pPr>
        <w:jc w:val="both"/>
        <w:ind w:left="1080" w:right="480" w:hanging="360"/>
        <w:spacing w:after="0" w:line="257" w:lineRule="auto"/>
        <w:tabs>
          <w:tab w:leader="none" w:pos="1083" w:val="left"/>
        </w:tabs>
        <w:numPr>
          <w:ilvl w:val="0"/>
          <w:numId w:val="4"/>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70" w:lineRule="exact"/>
        <w:rPr>
          <w:sz w:val="20"/>
          <w:szCs w:val="20"/>
          <w:color w:val="auto"/>
        </w:rPr>
      </w:pPr>
    </w:p>
    <w:p>
      <w:pPr>
        <w:jc w:val="both"/>
        <w:spacing w:after="0" w:line="267" w:lineRule="auto"/>
        <w:rPr>
          <w:sz w:val="20"/>
          <w:szCs w:val="20"/>
          <w:color w:val="auto"/>
        </w:rPr>
      </w:pPr>
      <w:r>
        <w:rPr>
          <w:rFonts w:ascii="Arial" w:cs="Arial" w:eastAsia="Arial" w:hAnsi="Arial"/>
          <w:sz w:val="22"/>
          <w:szCs w:val="22"/>
          <w:color w:val="auto"/>
        </w:rPr>
        <w:t>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w:t>
      </w:r>
    </w:p>
    <w:p>
      <w:pPr>
        <w:spacing w:after="0" w:line="7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940"/>
          </w:cols>
          <w:pgMar w:left="480" w:top="1440" w:right="479" w:bottom="1440" w:gutter="0" w:footer="0" w:header="0"/>
        </w:sectPr>
      </w:pPr>
    </w:p>
    <w:bookmarkStart w:id="2" w:name="page3"/>
    <w:bookmarkEnd w:id="2"/>
    <w:p>
      <w:pPr>
        <w:spacing w:after="0" w:line="12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IN WITNESS WHEREOF, the undersigned has caused this Power of Attorney to be executed as of this </w:t>
      </w:r>
      <w:r>
        <w:rPr>
          <w:rFonts w:ascii="Arial" w:cs="Arial" w:eastAsia="Arial" w:hAnsi="Arial"/>
          <w:sz w:val="24"/>
          <w:szCs w:val="24"/>
          <w:color w:val="auto"/>
        </w:rPr>
        <w:t>2</w:t>
      </w:r>
      <w:r>
        <w:rPr>
          <w:rFonts w:ascii="Arial" w:cs="Arial" w:eastAsia="Arial" w:hAnsi="Arial"/>
          <w:sz w:val="31"/>
          <w:szCs w:val="31"/>
          <w:color w:val="auto"/>
          <w:vertAlign w:val="superscript"/>
        </w:rPr>
        <w:t>nd</w:t>
      </w:r>
      <w:r>
        <w:rPr>
          <w:rFonts w:ascii="Arial" w:cs="Arial" w:eastAsia="Arial" w:hAnsi="Arial"/>
          <w:sz w:val="22"/>
          <w:szCs w:val="22"/>
          <w:color w:val="auto"/>
        </w:rPr>
        <w:t xml:space="preserve"> day of </w:t>
      </w:r>
      <w:r>
        <w:rPr>
          <w:rFonts w:ascii="Arial" w:cs="Arial" w:eastAsia="Arial" w:hAnsi="Arial"/>
          <w:sz w:val="24"/>
          <w:szCs w:val="24"/>
          <w:color w:val="auto"/>
        </w:rPr>
        <w:t>March</w:t>
      </w:r>
      <w:r>
        <w:rPr>
          <w:rFonts w:ascii="Arial" w:cs="Arial" w:eastAsia="Arial" w:hAnsi="Arial"/>
          <w:sz w:val="22"/>
          <w:szCs w:val="22"/>
          <w:color w:val="auto"/>
        </w:rPr>
        <w:t>, 2026.</w:t>
      </w: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By: /s/ Jon Patrick Vingo,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-10160</wp:posOffset>
            </wp:positionV>
            <wp:extent cx="16503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650365" cy="9525"/>
                    </a:xfrm>
                    <a:prstGeom prst="rect">
                      <a:avLst/>
                    </a:prstGeom>
                    <a:noFill/>
                  </pic:spPr>
                </pic:pic>
              </a:graphicData>
            </a:graphic>
          </wp:anchor>
        </w:drawing>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Name: Jon Patrick Vingo, Jr.</w:t>
      </w:r>
    </w:p>
    <w:p>
      <w:pPr>
        <w:sectPr>
          <w:pgSz w:w="11900" w:h="16838" w:orient="portrait"/>
          <w:cols w:equalWidth="0" w:num="1">
            <w:col w:w="10920"/>
          </w:cols>
          <w:pgMar w:left="480" w:top="1440" w:right="499" w:bottom="1440" w:gutter="0" w:footer="0" w:header="0"/>
        </w:sectPr>
      </w:pPr>
    </w:p>
    <w:bookmarkStart w:id="3" w:name="page4"/>
    <w:bookmarkEnd w:id="3"/>
    <w:p>
      <w:pPr>
        <w:spacing w:after="0" w:line="115" w:lineRule="exact"/>
        <w:rPr>
          <w:sz w:val="20"/>
          <w:szCs w:val="20"/>
          <w:color w:val="auto"/>
        </w:rPr>
      </w:pPr>
    </w:p>
    <w:p>
      <w:pPr>
        <w:ind w:left="4900"/>
        <w:spacing w:after="0"/>
        <w:rPr>
          <w:sz w:val="20"/>
          <w:szCs w:val="20"/>
          <w:color w:val="auto"/>
        </w:rPr>
      </w:pPr>
      <w:r>
        <w:rPr>
          <w:rFonts w:ascii="Arial" w:cs="Arial" w:eastAsia="Arial" w:hAnsi="Arial"/>
          <w:sz w:val="22"/>
          <w:szCs w:val="22"/>
          <w:u w:val="single" w:color="auto"/>
          <w:color w:val="auto"/>
        </w:rPr>
        <w:t>Schedule A</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54" w:lineRule="exact"/>
        <w:rPr>
          <w:sz w:val="20"/>
          <w:szCs w:val="20"/>
          <w:color w:val="auto"/>
        </w:rPr>
      </w:pPr>
    </w:p>
    <w:p>
      <w:pPr>
        <w:ind w:left="360" w:hanging="360"/>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Sam Seiberling</w:t>
      </w:r>
    </w:p>
    <w:p>
      <w:pPr>
        <w:spacing w:after="0" w:line="137" w:lineRule="exact"/>
        <w:rPr>
          <w:rFonts w:ascii="Arial" w:cs="Arial" w:eastAsia="Arial" w:hAnsi="Arial"/>
          <w:sz w:val="22"/>
          <w:szCs w:val="22"/>
          <w:color w:val="auto"/>
        </w:rPr>
      </w:pPr>
    </w:p>
    <w:p>
      <w:pPr>
        <w:ind w:left="360" w:hanging="360"/>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Rodd Booth</w:t>
      </w:r>
    </w:p>
    <w:p>
      <w:pPr>
        <w:spacing w:after="0" w:line="122" w:lineRule="exact"/>
        <w:rPr>
          <w:rFonts w:ascii="Arial" w:cs="Arial" w:eastAsia="Arial" w:hAnsi="Arial"/>
          <w:sz w:val="22"/>
          <w:szCs w:val="22"/>
          <w:color w:val="auto"/>
        </w:rPr>
      </w:pPr>
    </w:p>
    <w:p>
      <w:pPr>
        <w:ind w:left="360" w:hanging="360"/>
        <w:spacing w:after="0"/>
        <w:tabs>
          <w:tab w:leader="none" w:pos="360" w:val="left"/>
        </w:tabs>
        <w:numPr>
          <w:ilvl w:val="0"/>
          <w:numId w:val="5"/>
        </w:numPr>
        <w:rPr>
          <w:rFonts w:ascii="Arial" w:cs="Arial" w:eastAsia="Arial" w:hAnsi="Arial"/>
          <w:sz w:val="22"/>
          <w:szCs w:val="22"/>
          <w:color w:val="auto"/>
        </w:rPr>
      </w:pPr>
      <w:r>
        <w:rPr>
          <w:rFonts w:ascii="Arial" w:cs="Arial" w:eastAsia="Arial" w:hAnsi="Arial"/>
          <w:sz w:val="22"/>
          <w:szCs w:val="22"/>
          <w:color w:val="auto"/>
        </w:rPr>
        <w:t>Mark Davis</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23090" TargetMode="External"/><Relationship Id="rId11" Type="http://schemas.openxmlformats.org/officeDocument/2006/relationships/hyperlink" Target="http://www.sec.gov/cgi-bin/browse-edgar?action=getcompany&amp;CIK=00020685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2026-05-15T15:43:09Z</dcterms:created>
  <dcterms:modified xsi:type="dcterms:W3CDTF">2026-05-15T15:43:09Z</dcterms:modified>
</cp:coreProperties>
</file>